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F4E62" w14:textId="58240200" w:rsidR="00540040" w:rsidRPr="00F56F80" w:rsidRDefault="00C752BD" w:rsidP="00FB337F">
      <w:pPr>
        <w:pStyle w:val="NoSpacing"/>
        <w:jc w:val="center"/>
        <w:rPr>
          <w:rFonts w:ascii="Arial" w:hAnsi="Arial" w:cs="Arial"/>
          <w:b/>
          <w:bCs/>
          <w:sz w:val="24"/>
          <w:szCs w:val="24"/>
        </w:rPr>
      </w:pPr>
      <w:r w:rsidRPr="00F56F80">
        <w:rPr>
          <w:rFonts w:ascii="Arial" w:hAnsi="Arial" w:cs="Arial"/>
          <w:b/>
          <w:bCs/>
          <w:sz w:val="24"/>
          <w:szCs w:val="24"/>
        </w:rPr>
        <w:t xml:space="preserve">New Discharge to Assess Service in the Independent </w:t>
      </w:r>
      <w:r w:rsidR="00B3317E" w:rsidRPr="00F56F80">
        <w:rPr>
          <w:rFonts w:ascii="Arial" w:hAnsi="Arial" w:cs="Arial"/>
          <w:b/>
          <w:bCs/>
          <w:sz w:val="24"/>
          <w:szCs w:val="24"/>
        </w:rPr>
        <w:t xml:space="preserve">Care Home </w:t>
      </w:r>
      <w:r w:rsidRPr="00F56F80">
        <w:rPr>
          <w:rFonts w:ascii="Arial" w:hAnsi="Arial" w:cs="Arial"/>
          <w:b/>
          <w:bCs/>
          <w:sz w:val="24"/>
          <w:szCs w:val="24"/>
        </w:rPr>
        <w:t>Sector</w:t>
      </w:r>
    </w:p>
    <w:p w14:paraId="0FEDA1E7" w14:textId="0604F684" w:rsidR="00C752BD" w:rsidRDefault="00C752BD" w:rsidP="00FB337F">
      <w:pPr>
        <w:pStyle w:val="NoSpacing"/>
        <w:jc w:val="center"/>
        <w:rPr>
          <w:rFonts w:ascii="Arial" w:hAnsi="Arial" w:cs="Arial"/>
          <w:i/>
          <w:iCs/>
          <w:sz w:val="24"/>
          <w:szCs w:val="24"/>
        </w:rPr>
      </w:pPr>
      <w:r w:rsidRPr="00F56F80">
        <w:rPr>
          <w:rFonts w:ascii="Arial" w:hAnsi="Arial" w:cs="Arial"/>
          <w:i/>
          <w:iCs/>
          <w:sz w:val="24"/>
          <w:szCs w:val="24"/>
        </w:rPr>
        <w:t>Frequently Asked Questions</w:t>
      </w:r>
    </w:p>
    <w:p w14:paraId="68B40A95" w14:textId="3C4C66D6" w:rsidR="004A069E" w:rsidRPr="00F56F80" w:rsidRDefault="004A069E" w:rsidP="00FB337F">
      <w:pPr>
        <w:pStyle w:val="NoSpacing"/>
        <w:jc w:val="center"/>
        <w:rPr>
          <w:rFonts w:ascii="Arial" w:hAnsi="Arial" w:cs="Arial"/>
          <w:i/>
          <w:iCs/>
          <w:sz w:val="24"/>
          <w:szCs w:val="24"/>
        </w:rPr>
      </w:pPr>
      <w:r>
        <w:rPr>
          <w:rFonts w:ascii="Arial" w:hAnsi="Arial" w:cs="Arial"/>
          <w:i/>
          <w:iCs/>
          <w:sz w:val="24"/>
          <w:szCs w:val="24"/>
        </w:rPr>
        <w:t>June 2024</w:t>
      </w:r>
    </w:p>
    <w:p w14:paraId="1845E9AF" w14:textId="20ED9CED" w:rsidR="00540040" w:rsidRPr="00540040" w:rsidRDefault="00540040" w:rsidP="00540040"/>
    <w:tbl>
      <w:tblPr>
        <w:tblStyle w:val="TableGrid"/>
        <w:tblW w:w="10348" w:type="dxa"/>
        <w:tblInd w:w="-714" w:type="dxa"/>
        <w:tblLook w:val="04A0" w:firstRow="1" w:lastRow="0" w:firstColumn="1" w:lastColumn="0" w:noHBand="0" w:noVBand="1"/>
      </w:tblPr>
      <w:tblGrid>
        <w:gridCol w:w="10348"/>
      </w:tblGrid>
      <w:tr w:rsidR="00540040" w:rsidRPr="00C65373" w14:paraId="283C145D" w14:textId="77777777" w:rsidTr="00F56F80">
        <w:trPr>
          <w:trHeight w:val="567"/>
        </w:trPr>
        <w:tc>
          <w:tcPr>
            <w:tcW w:w="10348" w:type="dxa"/>
            <w:shd w:val="clear" w:color="auto" w:fill="FFC000" w:themeFill="accent4"/>
            <w:vAlign w:val="center"/>
          </w:tcPr>
          <w:p w14:paraId="6086A385" w14:textId="5465096E" w:rsidR="00540040" w:rsidRPr="00540040" w:rsidRDefault="00540040" w:rsidP="00093249">
            <w:pPr>
              <w:jc w:val="center"/>
              <w:rPr>
                <w:rFonts w:ascii="Arial" w:hAnsi="Arial" w:cs="Arial"/>
                <w:b/>
                <w:bCs/>
                <w:sz w:val="24"/>
                <w:szCs w:val="24"/>
              </w:rPr>
            </w:pPr>
            <w:r w:rsidRPr="006030D2">
              <w:rPr>
                <w:rFonts w:ascii="Arial" w:hAnsi="Arial" w:cs="Arial"/>
                <w:b/>
                <w:bCs/>
                <w:sz w:val="24"/>
                <w:szCs w:val="24"/>
              </w:rPr>
              <w:t>Discharge planning/assessment</w:t>
            </w:r>
          </w:p>
        </w:tc>
      </w:tr>
      <w:tr w:rsidR="00F56F80" w:rsidRPr="00C65373" w14:paraId="3F4D9584" w14:textId="77777777" w:rsidTr="00F56F80">
        <w:trPr>
          <w:trHeight w:val="454"/>
        </w:trPr>
        <w:tc>
          <w:tcPr>
            <w:tcW w:w="10348" w:type="dxa"/>
            <w:shd w:val="clear" w:color="auto" w:fill="FFF2CC" w:themeFill="accent4" w:themeFillTint="33"/>
            <w:vAlign w:val="center"/>
          </w:tcPr>
          <w:p w14:paraId="34586CAA" w14:textId="1DBC9C90" w:rsidR="00F56F80" w:rsidRPr="003275CA" w:rsidRDefault="00F56F80" w:rsidP="003275CA">
            <w:pPr>
              <w:pStyle w:val="ListParagraph"/>
              <w:numPr>
                <w:ilvl w:val="0"/>
                <w:numId w:val="3"/>
              </w:numPr>
              <w:jc w:val="both"/>
              <w:rPr>
                <w:rFonts w:ascii="Arial" w:hAnsi="Arial" w:cs="Arial"/>
              </w:rPr>
            </w:pPr>
            <w:r w:rsidRPr="003275CA">
              <w:rPr>
                <w:rFonts w:ascii="Arial" w:hAnsi="Arial" w:cs="Arial"/>
              </w:rPr>
              <w:t>Does my home still need to go into the hospital to complete a pre-admission assessment?</w:t>
            </w:r>
          </w:p>
        </w:tc>
      </w:tr>
      <w:tr w:rsidR="00F56F80" w:rsidRPr="00C65373" w14:paraId="4A264C8D" w14:textId="77777777" w:rsidTr="00F56F80">
        <w:trPr>
          <w:trHeight w:val="1361"/>
        </w:trPr>
        <w:tc>
          <w:tcPr>
            <w:tcW w:w="10348" w:type="dxa"/>
            <w:vAlign w:val="center"/>
          </w:tcPr>
          <w:p w14:paraId="67CEFB81" w14:textId="77777777" w:rsidR="00F56F80" w:rsidRPr="00C752BD" w:rsidRDefault="00F56F80" w:rsidP="00F56F80">
            <w:pPr>
              <w:rPr>
                <w:rFonts w:ascii="Arial" w:hAnsi="Arial" w:cs="Arial"/>
              </w:rPr>
            </w:pPr>
            <w:r w:rsidRPr="00C752BD">
              <w:rPr>
                <w:rFonts w:ascii="Arial" w:hAnsi="Arial" w:cs="Arial"/>
              </w:rPr>
              <w:t>No, we are hoping that in most cases homes will accept the pre-discharge assessment completed by the staff working in the hospital discharge teams.</w:t>
            </w:r>
          </w:p>
          <w:p w14:paraId="0A9370BD" w14:textId="77777777" w:rsidR="00F56F80" w:rsidRPr="00C752BD" w:rsidRDefault="00F56F80" w:rsidP="00F56F80">
            <w:pPr>
              <w:rPr>
                <w:rFonts w:ascii="Arial" w:hAnsi="Arial" w:cs="Arial"/>
              </w:rPr>
            </w:pPr>
          </w:p>
          <w:p w14:paraId="0692D5F2" w14:textId="5558B336" w:rsidR="00F56F80" w:rsidRPr="00540040" w:rsidRDefault="00F56F80" w:rsidP="00F56F80">
            <w:pPr>
              <w:rPr>
                <w:rFonts w:ascii="Arial" w:hAnsi="Arial" w:cs="Arial"/>
              </w:rPr>
            </w:pPr>
            <w:r w:rsidRPr="00C752BD">
              <w:rPr>
                <w:rFonts w:ascii="Arial" w:hAnsi="Arial" w:cs="Arial"/>
              </w:rPr>
              <w:t xml:space="preserve">There is further work required in relation to this and key information around this will be shared and discussed in a future session that we are planning date to be confirmed. </w:t>
            </w:r>
          </w:p>
        </w:tc>
      </w:tr>
      <w:tr w:rsidR="00F56F80" w:rsidRPr="00C65373" w14:paraId="116CEA61" w14:textId="77777777" w:rsidTr="00F56F80">
        <w:trPr>
          <w:trHeight w:val="680"/>
        </w:trPr>
        <w:tc>
          <w:tcPr>
            <w:tcW w:w="10348" w:type="dxa"/>
            <w:shd w:val="clear" w:color="auto" w:fill="FFF2CC" w:themeFill="accent4" w:themeFillTint="33"/>
            <w:vAlign w:val="center"/>
          </w:tcPr>
          <w:p w14:paraId="1D56439F" w14:textId="253580F5" w:rsidR="00F56F80" w:rsidRPr="003275CA" w:rsidRDefault="00F56F80" w:rsidP="003275CA">
            <w:pPr>
              <w:pStyle w:val="ListParagraph"/>
              <w:numPr>
                <w:ilvl w:val="0"/>
                <w:numId w:val="3"/>
              </w:numPr>
              <w:jc w:val="both"/>
              <w:rPr>
                <w:rFonts w:ascii="Arial" w:hAnsi="Arial" w:cs="Arial"/>
              </w:rPr>
            </w:pPr>
            <w:r w:rsidRPr="003275CA">
              <w:rPr>
                <w:rFonts w:ascii="Arial" w:hAnsi="Arial" w:cs="Arial"/>
              </w:rPr>
              <w:t>Would I still know in advance what medication they are taking and confirm it with their pharmacy/GP as the homes policy, or just accept what they have bought with them from the hospital?</w:t>
            </w:r>
          </w:p>
        </w:tc>
      </w:tr>
      <w:tr w:rsidR="00F56F80" w:rsidRPr="00C65373" w14:paraId="597EFBA3" w14:textId="77777777" w:rsidTr="00F56F80">
        <w:trPr>
          <w:trHeight w:val="1361"/>
        </w:trPr>
        <w:tc>
          <w:tcPr>
            <w:tcW w:w="10348" w:type="dxa"/>
            <w:vAlign w:val="center"/>
          </w:tcPr>
          <w:p w14:paraId="10A0F293" w14:textId="77777777" w:rsidR="00F56F80" w:rsidRDefault="00F56F80" w:rsidP="00F56F80">
            <w:pPr>
              <w:rPr>
                <w:rFonts w:ascii="Arial" w:hAnsi="Arial" w:cs="Arial"/>
              </w:rPr>
            </w:pPr>
            <w:r w:rsidRPr="00C752BD">
              <w:rPr>
                <w:rFonts w:ascii="Arial" w:hAnsi="Arial" w:cs="Arial"/>
              </w:rPr>
              <w:t>Information regarding medication would be sent to the Care Home within the discharge summary.</w:t>
            </w:r>
            <w:r>
              <w:rPr>
                <w:rFonts w:ascii="Arial" w:hAnsi="Arial" w:cs="Arial"/>
              </w:rPr>
              <w:t xml:space="preserve"> </w:t>
            </w:r>
          </w:p>
          <w:p w14:paraId="0986B464" w14:textId="77777777" w:rsidR="00F56F80" w:rsidRDefault="00F56F80" w:rsidP="00F56F80">
            <w:pPr>
              <w:rPr>
                <w:rFonts w:ascii="Arial" w:hAnsi="Arial" w:cs="Arial"/>
              </w:rPr>
            </w:pPr>
          </w:p>
          <w:p w14:paraId="2D74160F" w14:textId="0FC322A5" w:rsidR="00F56F80" w:rsidRPr="00C752BD" w:rsidRDefault="00F56F80" w:rsidP="00F56F80">
            <w:pPr>
              <w:rPr>
                <w:rFonts w:ascii="Arial" w:hAnsi="Arial" w:cs="Arial"/>
              </w:rPr>
            </w:pPr>
            <w:r w:rsidRPr="00C752BD">
              <w:rPr>
                <w:rFonts w:ascii="Arial" w:hAnsi="Arial" w:cs="Arial"/>
              </w:rPr>
              <w:t>If a Care Home wanted further information in advance of discharge, they could contact the ward. This information will not be included in the Trusted Assessor document.</w:t>
            </w:r>
          </w:p>
        </w:tc>
      </w:tr>
      <w:tr w:rsidR="00F56F80" w:rsidRPr="00C65373" w14:paraId="1365D04C" w14:textId="77777777" w:rsidTr="00F56F80">
        <w:trPr>
          <w:trHeight w:val="680"/>
        </w:trPr>
        <w:tc>
          <w:tcPr>
            <w:tcW w:w="10348" w:type="dxa"/>
            <w:shd w:val="clear" w:color="auto" w:fill="FFF2CC" w:themeFill="accent4" w:themeFillTint="33"/>
            <w:vAlign w:val="center"/>
          </w:tcPr>
          <w:p w14:paraId="61945AA1" w14:textId="42C33ACD" w:rsidR="00F56F80" w:rsidRPr="003275CA" w:rsidRDefault="00F56F80" w:rsidP="003275CA">
            <w:pPr>
              <w:pStyle w:val="ListParagraph"/>
              <w:numPr>
                <w:ilvl w:val="0"/>
                <w:numId w:val="3"/>
              </w:numPr>
              <w:jc w:val="both"/>
              <w:rPr>
                <w:rFonts w:ascii="Arial" w:hAnsi="Arial" w:cs="Arial"/>
              </w:rPr>
            </w:pPr>
            <w:r w:rsidRPr="003275CA">
              <w:rPr>
                <w:rFonts w:ascii="Arial" w:hAnsi="Arial" w:cs="Arial"/>
              </w:rPr>
              <w:t>How are we going to ensure that everything is in place prior to discharge to minimise any problems e.g., medication/equipment etc?</w:t>
            </w:r>
          </w:p>
        </w:tc>
      </w:tr>
      <w:tr w:rsidR="00F56F80" w:rsidRPr="00C65373" w14:paraId="6B516696" w14:textId="77777777" w:rsidTr="00FB337F">
        <w:trPr>
          <w:trHeight w:val="1928"/>
        </w:trPr>
        <w:tc>
          <w:tcPr>
            <w:tcW w:w="10348" w:type="dxa"/>
            <w:vAlign w:val="center"/>
          </w:tcPr>
          <w:p w14:paraId="5C193126" w14:textId="55B15F29" w:rsidR="00F56F80" w:rsidRDefault="00F56F80" w:rsidP="00F56F80">
            <w:pPr>
              <w:jc w:val="both"/>
              <w:rPr>
                <w:rFonts w:ascii="Arial" w:hAnsi="Arial" w:cs="Arial"/>
              </w:rPr>
            </w:pPr>
            <w:r w:rsidRPr="00C752BD">
              <w:rPr>
                <w:rFonts w:ascii="Arial" w:hAnsi="Arial" w:cs="Arial"/>
              </w:rPr>
              <w:t>The hospital discharge teams and wards are all involved in the work that we are undertaking as a system to improve discharge and have responsibility for ensuring everything is in place prior to discharge.</w:t>
            </w:r>
            <w:r>
              <w:rPr>
                <w:rFonts w:ascii="Arial" w:hAnsi="Arial" w:cs="Arial"/>
              </w:rPr>
              <w:t xml:space="preserve"> </w:t>
            </w:r>
            <w:r w:rsidRPr="00C752BD">
              <w:rPr>
                <w:rFonts w:ascii="Arial" w:hAnsi="Arial" w:cs="Arial"/>
              </w:rPr>
              <w:t>We hope any issues with medication/equipment will be minimal.</w:t>
            </w:r>
          </w:p>
          <w:p w14:paraId="624EB6C1" w14:textId="77777777" w:rsidR="00F56F80" w:rsidRPr="00C752BD" w:rsidRDefault="00F56F80" w:rsidP="00F56F80">
            <w:pPr>
              <w:jc w:val="both"/>
              <w:rPr>
                <w:rFonts w:ascii="Arial" w:hAnsi="Arial" w:cs="Arial"/>
              </w:rPr>
            </w:pPr>
          </w:p>
          <w:p w14:paraId="31DFA1DD" w14:textId="2FC68796" w:rsidR="00F56F80" w:rsidRPr="00C752BD" w:rsidRDefault="00F56F80" w:rsidP="00F56F80">
            <w:pPr>
              <w:jc w:val="both"/>
              <w:rPr>
                <w:rFonts w:ascii="Arial" w:hAnsi="Arial" w:cs="Arial"/>
              </w:rPr>
            </w:pPr>
            <w:r w:rsidRPr="00C752BD">
              <w:rPr>
                <w:rFonts w:ascii="Arial" w:hAnsi="Arial" w:cs="Arial"/>
              </w:rPr>
              <w:t>However, we accept this may happen so we are building in mechanisms for feedback and will be capturing this during the initial implementation phase so we are aware of any challenges and can make changes/improvements as required.</w:t>
            </w:r>
          </w:p>
        </w:tc>
      </w:tr>
      <w:tr w:rsidR="00F56F80" w:rsidRPr="00C65373" w14:paraId="6452527D" w14:textId="77777777" w:rsidTr="00F56F80">
        <w:trPr>
          <w:trHeight w:val="454"/>
        </w:trPr>
        <w:tc>
          <w:tcPr>
            <w:tcW w:w="10348" w:type="dxa"/>
            <w:shd w:val="clear" w:color="auto" w:fill="FFF2CC" w:themeFill="accent4" w:themeFillTint="33"/>
            <w:vAlign w:val="center"/>
          </w:tcPr>
          <w:p w14:paraId="4049A52C" w14:textId="04D606D7" w:rsidR="00F56F80" w:rsidRPr="003275CA" w:rsidRDefault="00F56F80" w:rsidP="003275CA">
            <w:pPr>
              <w:pStyle w:val="ListParagraph"/>
              <w:numPr>
                <w:ilvl w:val="0"/>
                <w:numId w:val="3"/>
              </w:numPr>
              <w:jc w:val="both"/>
              <w:rPr>
                <w:rFonts w:ascii="Arial" w:hAnsi="Arial" w:cs="Arial"/>
              </w:rPr>
            </w:pPr>
            <w:r w:rsidRPr="003275CA">
              <w:rPr>
                <w:rFonts w:ascii="Arial" w:hAnsi="Arial" w:cs="Arial"/>
              </w:rPr>
              <w:t>Will relatives have the time to look around the Care Homes to choose one that is best for them?</w:t>
            </w:r>
          </w:p>
        </w:tc>
      </w:tr>
      <w:tr w:rsidR="00F56F80" w:rsidRPr="00C65373" w14:paraId="31EAB585" w14:textId="77777777" w:rsidTr="00F56F80">
        <w:trPr>
          <w:trHeight w:val="1020"/>
        </w:trPr>
        <w:tc>
          <w:tcPr>
            <w:tcW w:w="10348" w:type="dxa"/>
            <w:vAlign w:val="center"/>
          </w:tcPr>
          <w:p w14:paraId="5FF0BF60" w14:textId="4527BCA7" w:rsidR="00F56F80" w:rsidRPr="00C752BD" w:rsidRDefault="00F56F80" w:rsidP="00F56F80">
            <w:pPr>
              <w:rPr>
                <w:rFonts w:ascii="Arial" w:hAnsi="Arial" w:cs="Arial"/>
              </w:rPr>
            </w:pPr>
            <w:r>
              <w:rPr>
                <w:rFonts w:ascii="Arial" w:hAnsi="Arial" w:cs="Arial"/>
              </w:rPr>
              <w:t xml:space="preserve">We will endeavour to enable this; however, this placement is for a temporary assessment period so choice could be limited dependant upon the number of Care Homes that sign up to deliver the service and bed availability. </w:t>
            </w:r>
          </w:p>
        </w:tc>
      </w:tr>
      <w:tr w:rsidR="00F56F80" w:rsidRPr="00C65373" w14:paraId="0D1FDA8F" w14:textId="77777777" w:rsidTr="00F56F80">
        <w:trPr>
          <w:trHeight w:val="454"/>
        </w:trPr>
        <w:tc>
          <w:tcPr>
            <w:tcW w:w="10348" w:type="dxa"/>
            <w:shd w:val="clear" w:color="auto" w:fill="FFF2CC" w:themeFill="accent4" w:themeFillTint="33"/>
            <w:vAlign w:val="center"/>
          </w:tcPr>
          <w:p w14:paraId="45C0B656" w14:textId="6A240CAE" w:rsidR="00F56F80" w:rsidRPr="003275CA" w:rsidRDefault="00F56F80" w:rsidP="003275CA">
            <w:pPr>
              <w:pStyle w:val="ListParagraph"/>
              <w:numPr>
                <w:ilvl w:val="0"/>
                <w:numId w:val="3"/>
              </w:numPr>
              <w:rPr>
                <w:rFonts w:ascii="Arial" w:hAnsi="Arial" w:cs="Arial"/>
              </w:rPr>
            </w:pPr>
            <w:r w:rsidRPr="003275CA">
              <w:rPr>
                <w:rFonts w:ascii="Arial" w:hAnsi="Arial" w:cs="Arial"/>
              </w:rPr>
              <w:t>What if a person's family don’t want them to come to my Care Home?</w:t>
            </w:r>
          </w:p>
        </w:tc>
      </w:tr>
      <w:tr w:rsidR="00F56F80" w:rsidRPr="00C65373" w14:paraId="722DB997" w14:textId="77777777" w:rsidTr="00B3317E">
        <w:trPr>
          <w:trHeight w:val="2494"/>
        </w:trPr>
        <w:tc>
          <w:tcPr>
            <w:tcW w:w="10348" w:type="dxa"/>
            <w:vAlign w:val="center"/>
          </w:tcPr>
          <w:p w14:paraId="2F7CFAD1" w14:textId="77777777" w:rsidR="00F56F80" w:rsidRDefault="00F56F80" w:rsidP="00F56F80">
            <w:pPr>
              <w:jc w:val="both"/>
              <w:rPr>
                <w:rFonts w:ascii="Arial" w:hAnsi="Arial" w:cs="Arial"/>
              </w:rPr>
            </w:pPr>
            <w:r w:rsidRPr="006236D7">
              <w:rPr>
                <w:rFonts w:ascii="Arial" w:hAnsi="Arial" w:cs="Arial"/>
              </w:rPr>
              <w:t>We will endeavour to facilitate choice where possible.</w:t>
            </w:r>
          </w:p>
          <w:p w14:paraId="68AEE9D5" w14:textId="77777777" w:rsidR="00F56F80" w:rsidRPr="006236D7" w:rsidRDefault="00F56F80" w:rsidP="00F56F80">
            <w:pPr>
              <w:jc w:val="both"/>
              <w:rPr>
                <w:rFonts w:ascii="Arial" w:hAnsi="Arial" w:cs="Arial"/>
              </w:rPr>
            </w:pPr>
          </w:p>
          <w:p w14:paraId="453F07A1" w14:textId="19B84091" w:rsidR="00F56F80" w:rsidRDefault="00F56F80" w:rsidP="00F56F80">
            <w:pPr>
              <w:jc w:val="both"/>
              <w:rPr>
                <w:rFonts w:ascii="Arial" w:hAnsi="Arial" w:cs="Arial"/>
              </w:rPr>
            </w:pPr>
            <w:r w:rsidRPr="006236D7">
              <w:rPr>
                <w:rFonts w:ascii="Arial" w:hAnsi="Arial" w:cs="Arial"/>
              </w:rPr>
              <w:t>The choice of Care Home and rationale for choosing a particular Care Home will be determined based on a range of factors for example the persons assessed needs, bed availability, geographical location etc and this will be discussed with the person and their families in advance of discharge.</w:t>
            </w:r>
          </w:p>
          <w:p w14:paraId="1BB9238E" w14:textId="77777777" w:rsidR="00F56F80" w:rsidRPr="006236D7" w:rsidRDefault="00F56F80" w:rsidP="00F56F80">
            <w:pPr>
              <w:jc w:val="both"/>
              <w:rPr>
                <w:rFonts w:ascii="Arial" w:hAnsi="Arial" w:cs="Arial"/>
              </w:rPr>
            </w:pPr>
          </w:p>
          <w:p w14:paraId="02542C22" w14:textId="0407551E" w:rsidR="00F56F80" w:rsidRDefault="00F56F80" w:rsidP="00F56F80">
            <w:pPr>
              <w:jc w:val="both"/>
              <w:rPr>
                <w:rFonts w:ascii="Arial" w:hAnsi="Arial" w:cs="Arial"/>
              </w:rPr>
            </w:pPr>
            <w:r w:rsidRPr="006236D7">
              <w:rPr>
                <w:rFonts w:ascii="Arial" w:hAnsi="Arial" w:cs="Arial"/>
              </w:rPr>
              <w:t>It is acknowledged that choice may be limited due to the number of Care Homes delivering the DTA service. It would be explained that this is a time limited service to enable assessment to determine longer term need and final placement.</w:t>
            </w:r>
          </w:p>
        </w:tc>
      </w:tr>
      <w:tr w:rsidR="00F56F80" w:rsidRPr="00C65373" w14:paraId="17323E52" w14:textId="77777777" w:rsidTr="00F56F80">
        <w:trPr>
          <w:trHeight w:val="567"/>
        </w:trPr>
        <w:tc>
          <w:tcPr>
            <w:tcW w:w="10348" w:type="dxa"/>
            <w:shd w:val="clear" w:color="auto" w:fill="FFC000" w:themeFill="accent4"/>
            <w:vAlign w:val="center"/>
          </w:tcPr>
          <w:p w14:paraId="6D3EA44E" w14:textId="77777777" w:rsidR="00F56F80" w:rsidRPr="006030D2" w:rsidRDefault="00F56F80" w:rsidP="00F56F80">
            <w:pPr>
              <w:jc w:val="both"/>
              <w:rPr>
                <w:rFonts w:ascii="Arial" w:hAnsi="Arial" w:cs="Arial"/>
                <w:color w:val="FFF2CC" w:themeColor="accent4" w:themeTint="33"/>
              </w:rPr>
            </w:pPr>
          </w:p>
        </w:tc>
      </w:tr>
    </w:tbl>
    <w:p w14:paraId="17121E00" w14:textId="77777777" w:rsidR="006030D2" w:rsidRDefault="006030D2" w:rsidP="00B918BB">
      <w:pPr>
        <w:rPr>
          <w:rFonts w:ascii="Arial" w:hAnsi="Arial" w:cs="Arial"/>
        </w:rPr>
      </w:pPr>
    </w:p>
    <w:p w14:paraId="68569FEC" w14:textId="77777777" w:rsidR="00FB337F" w:rsidRDefault="00FB337F" w:rsidP="00B918BB">
      <w:pPr>
        <w:rPr>
          <w:rFonts w:ascii="Arial" w:hAnsi="Arial" w:cs="Arial"/>
        </w:rPr>
      </w:pPr>
    </w:p>
    <w:tbl>
      <w:tblPr>
        <w:tblStyle w:val="TableGrid"/>
        <w:tblW w:w="10348" w:type="dxa"/>
        <w:tblInd w:w="-714" w:type="dxa"/>
        <w:tblLook w:val="04A0" w:firstRow="1" w:lastRow="0" w:firstColumn="1" w:lastColumn="0" w:noHBand="0" w:noVBand="1"/>
      </w:tblPr>
      <w:tblGrid>
        <w:gridCol w:w="10348"/>
      </w:tblGrid>
      <w:tr w:rsidR="00540040" w14:paraId="0658F81A" w14:textId="77777777" w:rsidTr="00F56F80">
        <w:trPr>
          <w:trHeight w:val="567"/>
        </w:trPr>
        <w:tc>
          <w:tcPr>
            <w:tcW w:w="10348" w:type="dxa"/>
            <w:shd w:val="clear" w:color="auto" w:fill="5B9BD5" w:themeFill="accent5"/>
            <w:vAlign w:val="center"/>
          </w:tcPr>
          <w:p w14:paraId="1EBAFBC2" w14:textId="1E366832" w:rsidR="00540040" w:rsidRPr="00540040" w:rsidRDefault="008875A5" w:rsidP="00093249">
            <w:pPr>
              <w:jc w:val="center"/>
              <w:rPr>
                <w:rFonts w:ascii="Arial" w:hAnsi="Arial" w:cs="Arial"/>
                <w:b/>
                <w:bCs/>
              </w:rPr>
            </w:pPr>
            <w:r w:rsidRPr="00093249">
              <w:rPr>
                <w:rFonts w:ascii="Arial" w:hAnsi="Arial" w:cs="Arial"/>
                <w:b/>
                <w:bCs/>
                <w:sz w:val="24"/>
                <w:szCs w:val="24"/>
              </w:rPr>
              <w:lastRenderedPageBreak/>
              <w:t>Service delivery</w:t>
            </w:r>
          </w:p>
        </w:tc>
      </w:tr>
      <w:tr w:rsidR="00F56F80" w14:paraId="163D75F4" w14:textId="77777777" w:rsidTr="00F56F80">
        <w:trPr>
          <w:trHeight w:val="454"/>
        </w:trPr>
        <w:tc>
          <w:tcPr>
            <w:tcW w:w="10348" w:type="dxa"/>
            <w:shd w:val="clear" w:color="auto" w:fill="DEEAF6" w:themeFill="accent5" w:themeFillTint="33"/>
            <w:vAlign w:val="center"/>
          </w:tcPr>
          <w:p w14:paraId="490D1723" w14:textId="3A908F3E" w:rsidR="00F56F80" w:rsidRPr="003275CA" w:rsidRDefault="00F56F80" w:rsidP="003275CA">
            <w:pPr>
              <w:pStyle w:val="ListParagraph"/>
              <w:numPr>
                <w:ilvl w:val="0"/>
                <w:numId w:val="3"/>
              </w:numPr>
              <w:jc w:val="both"/>
              <w:rPr>
                <w:rFonts w:ascii="Arial" w:hAnsi="Arial" w:cs="Arial"/>
              </w:rPr>
            </w:pPr>
            <w:r w:rsidRPr="003275CA">
              <w:rPr>
                <w:rFonts w:ascii="Arial" w:hAnsi="Arial" w:cs="Arial"/>
              </w:rPr>
              <w:t>How do I opt in if I am interested?</w:t>
            </w:r>
          </w:p>
        </w:tc>
      </w:tr>
      <w:tr w:rsidR="00F56F80" w14:paraId="05B5730A" w14:textId="77777777" w:rsidTr="00F56F80">
        <w:trPr>
          <w:trHeight w:val="1701"/>
        </w:trPr>
        <w:tc>
          <w:tcPr>
            <w:tcW w:w="10348" w:type="dxa"/>
            <w:vAlign w:val="center"/>
          </w:tcPr>
          <w:p w14:paraId="56D420F4" w14:textId="77777777" w:rsidR="00F56F80" w:rsidRDefault="00F56F80" w:rsidP="00F56F80">
            <w:pPr>
              <w:rPr>
                <w:rFonts w:ascii="Arial" w:hAnsi="Arial" w:cs="Arial"/>
                <w:lang w:val="en-US"/>
              </w:rPr>
            </w:pPr>
            <w:r w:rsidRPr="00C65373">
              <w:rPr>
                <w:rFonts w:ascii="Arial" w:hAnsi="Arial" w:cs="Arial"/>
                <w:lang w:val="en-US"/>
              </w:rPr>
              <w:t>This service is optional and open to all in area providers.</w:t>
            </w:r>
            <w:r>
              <w:rPr>
                <w:rFonts w:ascii="Arial" w:hAnsi="Arial" w:cs="Arial"/>
                <w:lang w:val="en-US"/>
              </w:rPr>
              <w:t xml:space="preserve"> Care Homes m</w:t>
            </w:r>
            <w:r w:rsidRPr="00C65373">
              <w:rPr>
                <w:rFonts w:ascii="Arial" w:hAnsi="Arial" w:cs="Arial"/>
                <w:lang w:val="en-US"/>
              </w:rPr>
              <w:t xml:space="preserve">ust be signed up to the current Provider List – this will allow </w:t>
            </w:r>
            <w:r>
              <w:rPr>
                <w:rFonts w:ascii="Arial" w:hAnsi="Arial" w:cs="Arial"/>
                <w:lang w:val="en-US"/>
              </w:rPr>
              <w:t>the Local Authority</w:t>
            </w:r>
            <w:r w:rsidRPr="00C65373">
              <w:rPr>
                <w:rFonts w:ascii="Arial" w:hAnsi="Arial" w:cs="Arial"/>
                <w:lang w:val="en-US"/>
              </w:rPr>
              <w:t xml:space="preserve"> to ‘passport’ </w:t>
            </w:r>
            <w:r>
              <w:rPr>
                <w:rFonts w:ascii="Arial" w:hAnsi="Arial" w:cs="Arial"/>
                <w:lang w:val="en-US"/>
              </w:rPr>
              <w:t>the Care Home</w:t>
            </w:r>
            <w:r w:rsidRPr="00C65373">
              <w:rPr>
                <w:rFonts w:ascii="Arial" w:hAnsi="Arial" w:cs="Arial"/>
                <w:lang w:val="en-US"/>
              </w:rPr>
              <w:t xml:space="preserve"> through further checks as due diligence has already been carried out.</w:t>
            </w:r>
            <w:r>
              <w:rPr>
                <w:rFonts w:ascii="Arial" w:hAnsi="Arial" w:cs="Arial"/>
                <w:lang w:val="en-US"/>
              </w:rPr>
              <w:t xml:space="preserve"> Care Homes must</w:t>
            </w:r>
            <w:r w:rsidRPr="00C65373">
              <w:rPr>
                <w:rFonts w:ascii="Arial" w:hAnsi="Arial" w:cs="Arial"/>
                <w:lang w:val="en-US"/>
              </w:rPr>
              <w:t xml:space="preserve"> agree to delivering the requirements in the specification, including the rate.</w:t>
            </w:r>
          </w:p>
          <w:p w14:paraId="23010BE8" w14:textId="77777777" w:rsidR="00F56F80" w:rsidRDefault="00F56F80" w:rsidP="00F56F80">
            <w:pPr>
              <w:rPr>
                <w:rFonts w:ascii="Arial" w:hAnsi="Arial" w:cs="Arial"/>
                <w:lang w:val="en-US"/>
              </w:rPr>
            </w:pPr>
          </w:p>
          <w:p w14:paraId="13C4F346" w14:textId="7A327FE5" w:rsidR="00F56F80" w:rsidRPr="00540040" w:rsidRDefault="00F56F80" w:rsidP="00F56F80">
            <w:pPr>
              <w:rPr>
                <w:rFonts w:ascii="Arial" w:hAnsi="Arial" w:cs="Arial"/>
              </w:rPr>
            </w:pPr>
            <w:r w:rsidRPr="00C65373">
              <w:rPr>
                <w:rFonts w:ascii="Arial" w:hAnsi="Arial" w:cs="Arial"/>
                <w:lang w:val="en-US"/>
              </w:rPr>
              <w:t xml:space="preserve">We can then issue a contract variation without the need to sign up to (or access) </w:t>
            </w:r>
            <w:proofErr w:type="spellStart"/>
            <w:r w:rsidRPr="00C65373">
              <w:rPr>
                <w:rFonts w:ascii="Arial" w:hAnsi="Arial" w:cs="Arial"/>
                <w:lang w:val="en-US"/>
              </w:rPr>
              <w:t>YORTender</w:t>
            </w:r>
            <w:proofErr w:type="spellEnd"/>
          </w:p>
        </w:tc>
      </w:tr>
      <w:tr w:rsidR="00F56F80" w14:paraId="5A09F5F2" w14:textId="77777777" w:rsidTr="00F56F80">
        <w:trPr>
          <w:trHeight w:val="907"/>
        </w:trPr>
        <w:tc>
          <w:tcPr>
            <w:tcW w:w="10348" w:type="dxa"/>
            <w:shd w:val="clear" w:color="auto" w:fill="DEEAF6" w:themeFill="accent5" w:themeFillTint="33"/>
            <w:vAlign w:val="center"/>
          </w:tcPr>
          <w:p w14:paraId="7A9C5230" w14:textId="728EE2E4" w:rsidR="00F56F80" w:rsidRPr="003275CA" w:rsidRDefault="00F56F80" w:rsidP="003275CA">
            <w:pPr>
              <w:pStyle w:val="ListParagraph"/>
              <w:numPr>
                <w:ilvl w:val="0"/>
                <w:numId w:val="3"/>
              </w:numPr>
              <w:jc w:val="both"/>
              <w:rPr>
                <w:rFonts w:ascii="Arial" w:hAnsi="Arial" w:cs="Arial"/>
              </w:rPr>
            </w:pPr>
            <w:r w:rsidRPr="003275CA">
              <w:rPr>
                <w:rFonts w:ascii="Arial" w:hAnsi="Arial" w:cs="Arial"/>
              </w:rPr>
              <w:t>Considering the operational guidelines set out for the DTA service, such as capability to discharge patients within 24 hours Monday to Friday. This might not always be realistic, I think 36hrs would be much more of a partnership approach.</w:t>
            </w:r>
          </w:p>
        </w:tc>
      </w:tr>
      <w:tr w:rsidR="00F56F80" w14:paraId="144596C6" w14:textId="77777777" w:rsidTr="00F56F80">
        <w:trPr>
          <w:trHeight w:val="907"/>
        </w:trPr>
        <w:tc>
          <w:tcPr>
            <w:tcW w:w="10348" w:type="dxa"/>
            <w:vAlign w:val="center"/>
          </w:tcPr>
          <w:p w14:paraId="52C615F7" w14:textId="6EA3325F" w:rsidR="00F56F80" w:rsidRPr="00540040" w:rsidRDefault="00F56F80" w:rsidP="00F56F80">
            <w:pPr>
              <w:jc w:val="both"/>
              <w:rPr>
                <w:rFonts w:ascii="Arial" w:hAnsi="Arial" w:cs="Arial"/>
              </w:rPr>
            </w:pPr>
            <w:r w:rsidRPr="008E627D">
              <w:rPr>
                <w:rFonts w:ascii="Arial" w:hAnsi="Arial" w:cs="Arial"/>
              </w:rPr>
              <w:t>The 24</w:t>
            </w:r>
            <w:r>
              <w:rPr>
                <w:rFonts w:ascii="Arial" w:hAnsi="Arial" w:cs="Arial"/>
              </w:rPr>
              <w:t>-hour</w:t>
            </w:r>
            <w:r w:rsidRPr="008E627D">
              <w:rPr>
                <w:rFonts w:ascii="Arial" w:hAnsi="Arial" w:cs="Arial"/>
              </w:rPr>
              <w:t xml:space="preserve"> element of this service aligns to our aspirational place target of aiming to discharge people from hospital across all discharge pathways within 24hrs of them no longer needing to be in an acute hospital bed.</w:t>
            </w:r>
            <w:r>
              <w:rPr>
                <w:rFonts w:ascii="Arial" w:hAnsi="Arial" w:cs="Arial"/>
              </w:rPr>
              <w:t xml:space="preserve"> </w:t>
            </w:r>
            <w:r w:rsidRPr="008E627D">
              <w:rPr>
                <w:rFonts w:ascii="Arial" w:hAnsi="Arial" w:cs="Arial"/>
              </w:rPr>
              <w:t>It is accepted that this may not always be possible, but this is the intended aim of the service.</w:t>
            </w:r>
          </w:p>
        </w:tc>
      </w:tr>
      <w:tr w:rsidR="00F56F80" w14:paraId="7A3985EB" w14:textId="77777777" w:rsidTr="00F56F80">
        <w:trPr>
          <w:trHeight w:val="680"/>
        </w:trPr>
        <w:tc>
          <w:tcPr>
            <w:tcW w:w="10348" w:type="dxa"/>
            <w:shd w:val="clear" w:color="auto" w:fill="DEEAF6" w:themeFill="accent5" w:themeFillTint="33"/>
            <w:vAlign w:val="center"/>
          </w:tcPr>
          <w:p w14:paraId="247D6933" w14:textId="12F1CCB7" w:rsidR="00F56F80" w:rsidRPr="003275CA" w:rsidRDefault="00F56F80" w:rsidP="003275CA">
            <w:pPr>
              <w:pStyle w:val="ListParagraph"/>
              <w:numPr>
                <w:ilvl w:val="0"/>
                <w:numId w:val="3"/>
              </w:numPr>
              <w:jc w:val="both"/>
              <w:rPr>
                <w:rFonts w:ascii="Arial" w:hAnsi="Arial" w:cs="Arial"/>
              </w:rPr>
            </w:pPr>
            <w:r w:rsidRPr="003275CA">
              <w:rPr>
                <w:rFonts w:ascii="Arial" w:hAnsi="Arial" w:cs="Arial"/>
              </w:rPr>
              <w:t>Will you only be allowing Care Homes with good or outstanding CQC ratings to express an interest and deliver the service?</w:t>
            </w:r>
          </w:p>
        </w:tc>
      </w:tr>
      <w:tr w:rsidR="00F56F80" w14:paraId="3F449C9F" w14:textId="77777777" w:rsidTr="00F56F80">
        <w:trPr>
          <w:trHeight w:val="680"/>
        </w:trPr>
        <w:tc>
          <w:tcPr>
            <w:tcW w:w="10348" w:type="dxa"/>
            <w:shd w:val="clear" w:color="auto" w:fill="FFFFFF" w:themeFill="background1"/>
            <w:vAlign w:val="center"/>
          </w:tcPr>
          <w:p w14:paraId="49BBA8B9" w14:textId="61473D4E" w:rsidR="00F56F80" w:rsidRPr="008E627D" w:rsidRDefault="00F56F80" w:rsidP="00F56F80">
            <w:pPr>
              <w:jc w:val="both"/>
              <w:rPr>
                <w:rFonts w:ascii="Arial" w:hAnsi="Arial" w:cs="Arial"/>
              </w:rPr>
            </w:pPr>
            <w:r>
              <w:rPr>
                <w:rFonts w:ascii="Arial" w:hAnsi="Arial" w:cs="Arial"/>
              </w:rPr>
              <w:t xml:space="preserve">We will be encouraging expressions of interest from Care Homes that are registered to deliver services that are on the Local Authority current provider list. </w:t>
            </w:r>
          </w:p>
        </w:tc>
      </w:tr>
      <w:tr w:rsidR="00F56F80" w14:paraId="1C1E63DD" w14:textId="77777777" w:rsidTr="00F56F80">
        <w:trPr>
          <w:trHeight w:val="454"/>
        </w:trPr>
        <w:tc>
          <w:tcPr>
            <w:tcW w:w="10348" w:type="dxa"/>
            <w:shd w:val="clear" w:color="auto" w:fill="DEEAF6" w:themeFill="accent5" w:themeFillTint="33"/>
            <w:vAlign w:val="center"/>
          </w:tcPr>
          <w:p w14:paraId="1E32C0E2" w14:textId="21D129C5" w:rsidR="00F56F80" w:rsidRPr="003275CA" w:rsidRDefault="00F56F80" w:rsidP="003275CA">
            <w:pPr>
              <w:pStyle w:val="ListParagraph"/>
              <w:numPr>
                <w:ilvl w:val="0"/>
                <w:numId w:val="3"/>
              </w:numPr>
              <w:jc w:val="both"/>
              <w:rPr>
                <w:rFonts w:ascii="Arial" w:hAnsi="Arial" w:cs="Arial"/>
              </w:rPr>
            </w:pPr>
            <w:r w:rsidRPr="003275CA">
              <w:rPr>
                <w:rFonts w:ascii="Arial" w:hAnsi="Arial" w:cs="Arial"/>
              </w:rPr>
              <w:t xml:space="preserve">Am I expected to take admissions over the weekend? </w:t>
            </w:r>
          </w:p>
        </w:tc>
      </w:tr>
      <w:tr w:rsidR="00F56F80" w14:paraId="2865CB67" w14:textId="77777777" w:rsidTr="00F56F80">
        <w:trPr>
          <w:trHeight w:val="680"/>
        </w:trPr>
        <w:tc>
          <w:tcPr>
            <w:tcW w:w="10348" w:type="dxa"/>
            <w:vAlign w:val="center"/>
          </w:tcPr>
          <w:p w14:paraId="1FBE0460" w14:textId="2E5F8212" w:rsidR="00F56F80" w:rsidRPr="006236D7" w:rsidRDefault="00F56F80" w:rsidP="00F56F80">
            <w:pPr>
              <w:jc w:val="both"/>
              <w:rPr>
                <w:rFonts w:ascii="Arial" w:hAnsi="Arial" w:cs="Arial"/>
              </w:rPr>
            </w:pPr>
            <w:r w:rsidRPr="006236D7">
              <w:rPr>
                <w:rFonts w:ascii="Arial" w:hAnsi="Arial" w:cs="Arial"/>
              </w:rPr>
              <w:t>There is no expectatio</w:t>
            </w:r>
            <w:r>
              <w:rPr>
                <w:rFonts w:ascii="Arial" w:hAnsi="Arial" w:cs="Arial"/>
              </w:rPr>
              <w:t>n</w:t>
            </w:r>
            <w:r w:rsidRPr="006236D7">
              <w:rPr>
                <w:rFonts w:ascii="Arial" w:hAnsi="Arial" w:cs="Arial"/>
              </w:rPr>
              <w:t xml:space="preserve"> or obligation to take a discharge over the weekend.</w:t>
            </w:r>
          </w:p>
          <w:p w14:paraId="54E9CCE2" w14:textId="401858FC" w:rsidR="00F56F80" w:rsidRDefault="00F56F80" w:rsidP="00F56F80">
            <w:pPr>
              <w:jc w:val="both"/>
              <w:rPr>
                <w:rFonts w:ascii="Arial" w:hAnsi="Arial" w:cs="Arial"/>
              </w:rPr>
            </w:pPr>
            <w:r w:rsidRPr="00C65373">
              <w:rPr>
                <w:rFonts w:ascii="Arial" w:hAnsi="Arial" w:cs="Arial"/>
              </w:rPr>
              <w:t>If your Care Home wanted to agree to a weekend discharge that would be acceptable.</w:t>
            </w:r>
          </w:p>
        </w:tc>
      </w:tr>
      <w:tr w:rsidR="00F56F80" w14:paraId="75B4BA8F" w14:textId="77777777" w:rsidTr="00F56F80">
        <w:trPr>
          <w:trHeight w:val="680"/>
        </w:trPr>
        <w:tc>
          <w:tcPr>
            <w:tcW w:w="10348" w:type="dxa"/>
            <w:shd w:val="clear" w:color="auto" w:fill="DEEAF6" w:themeFill="accent5" w:themeFillTint="33"/>
            <w:vAlign w:val="center"/>
          </w:tcPr>
          <w:p w14:paraId="6438E4F7" w14:textId="2895C3BF" w:rsidR="00F56F80" w:rsidRPr="003275CA" w:rsidRDefault="00F56F80" w:rsidP="003275CA">
            <w:pPr>
              <w:pStyle w:val="ListParagraph"/>
              <w:numPr>
                <w:ilvl w:val="0"/>
                <w:numId w:val="3"/>
              </w:numPr>
              <w:jc w:val="both"/>
              <w:rPr>
                <w:rFonts w:ascii="Arial" w:hAnsi="Arial" w:cs="Arial"/>
              </w:rPr>
            </w:pPr>
            <w:r w:rsidRPr="003275CA">
              <w:rPr>
                <w:rFonts w:ascii="Arial" w:hAnsi="Arial" w:cs="Arial"/>
              </w:rPr>
              <w:t>Surely, we can’t expect Care Homes to accept late in the day discharges on a Friday as it would be impossible to sort out medication and GP cover particularly on a bank holiday weekend.</w:t>
            </w:r>
          </w:p>
        </w:tc>
      </w:tr>
      <w:tr w:rsidR="00F56F80" w14:paraId="2EBC658A" w14:textId="77777777" w:rsidTr="00F56F80">
        <w:trPr>
          <w:trHeight w:val="1134"/>
        </w:trPr>
        <w:tc>
          <w:tcPr>
            <w:tcW w:w="10348" w:type="dxa"/>
            <w:vAlign w:val="center"/>
          </w:tcPr>
          <w:p w14:paraId="2D32E339" w14:textId="71DD21F2" w:rsidR="00F56F80" w:rsidRPr="008E627D" w:rsidRDefault="00F56F80" w:rsidP="00F56F80">
            <w:pPr>
              <w:jc w:val="both"/>
              <w:rPr>
                <w:rFonts w:ascii="Arial" w:hAnsi="Arial" w:cs="Arial"/>
              </w:rPr>
            </w:pPr>
            <w:r w:rsidRPr="008E627D">
              <w:rPr>
                <w:rFonts w:ascii="Arial" w:hAnsi="Arial" w:cs="Arial"/>
              </w:rPr>
              <w:t>This needs to be given further consideration regarding time of discharge and expectations.</w:t>
            </w:r>
          </w:p>
          <w:p w14:paraId="3165F031" w14:textId="6F6A57B9" w:rsidR="00F56F80" w:rsidRDefault="00F56F80" w:rsidP="00F56F80">
            <w:pPr>
              <w:jc w:val="both"/>
              <w:rPr>
                <w:rFonts w:ascii="Arial" w:hAnsi="Arial" w:cs="Arial"/>
              </w:rPr>
            </w:pPr>
            <w:r w:rsidRPr="008E627D">
              <w:rPr>
                <w:rFonts w:ascii="Arial" w:hAnsi="Arial" w:cs="Arial"/>
              </w:rPr>
              <w:t xml:space="preserve">If a person is discharged on a Friday afternoon, they should have all the necessary medication required and could remain registered with their existing GP practice until the next working day when they </w:t>
            </w:r>
            <w:r>
              <w:rPr>
                <w:rFonts w:ascii="Arial" w:hAnsi="Arial" w:cs="Arial"/>
              </w:rPr>
              <w:t>could</w:t>
            </w:r>
            <w:r w:rsidRPr="008E627D">
              <w:rPr>
                <w:rFonts w:ascii="Arial" w:hAnsi="Arial" w:cs="Arial"/>
              </w:rPr>
              <w:t xml:space="preserve"> be registered with the aligned GP practice that supports</w:t>
            </w:r>
            <w:r>
              <w:rPr>
                <w:rFonts w:ascii="Arial" w:hAnsi="Arial" w:cs="Arial"/>
              </w:rPr>
              <w:t xml:space="preserve"> your Care Home</w:t>
            </w:r>
            <w:r w:rsidRPr="008E627D">
              <w:rPr>
                <w:rFonts w:ascii="Arial" w:hAnsi="Arial" w:cs="Arial"/>
              </w:rPr>
              <w:t xml:space="preserve"> as part of the DTA arrangements.</w:t>
            </w:r>
          </w:p>
        </w:tc>
      </w:tr>
      <w:tr w:rsidR="00F56F80" w14:paraId="3305293F" w14:textId="77777777" w:rsidTr="00F56F80">
        <w:trPr>
          <w:trHeight w:val="680"/>
        </w:trPr>
        <w:tc>
          <w:tcPr>
            <w:tcW w:w="10348" w:type="dxa"/>
            <w:shd w:val="clear" w:color="auto" w:fill="DEEAF6" w:themeFill="accent5" w:themeFillTint="33"/>
            <w:vAlign w:val="center"/>
          </w:tcPr>
          <w:p w14:paraId="336489BF" w14:textId="2A9E2293" w:rsidR="00F56F80" w:rsidRPr="003275CA" w:rsidRDefault="00F56F80" w:rsidP="003275CA">
            <w:pPr>
              <w:pStyle w:val="ListParagraph"/>
              <w:numPr>
                <w:ilvl w:val="0"/>
                <w:numId w:val="3"/>
              </w:numPr>
              <w:jc w:val="both"/>
              <w:rPr>
                <w:rFonts w:ascii="Arial" w:hAnsi="Arial" w:cs="Arial"/>
              </w:rPr>
            </w:pPr>
            <w:r w:rsidRPr="003275CA">
              <w:rPr>
                <w:rFonts w:ascii="Arial" w:hAnsi="Arial" w:cs="Arial"/>
              </w:rPr>
              <w:t>Are GP practices involved in this work as we have had challenges with our GP practice refusing to do temporary registrations as they can’t see all the patients records?</w:t>
            </w:r>
          </w:p>
        </w:tc>
      </w:tr>
      <w:tr w:rsidR="00F56F80" w14:paraId="543B09F5" w14:textId="77777777" w:rsidTr="00F56F80">
        <w:trPr>
          <w:trHeight w:val="1020"/>
        </w:trPr>
        <w:tc>
          <w:tcPr>
            <w:tcW w:w="10348" w:type="dxa"/>
            <w:vAlign w:val="center"/>
          </w:tcPr>
          <w:p w14:paraId="36256907" w14:textId="76DCAEAE" w:rsidR="00F56F80" w:rsidRPr="008E627D" w:rsidRDefault="00F56F80" w:rsidP="00F56F80">
            <w:pPr>
              <w:jc w:val="both"/>
              <w:rPr>
                <w:rFonts w:ascii="Arial" w:hAnsi="Arial" w:cs="Arial"/>
              </w:rPr>
            </w:pPr>
            <w:r>
              <w:rPr>
                <w:rFonts w:ascii="Arial" w:hAnsi="Arial" w:cs="Arial"/>
              </w:rPr>
              <w:t xml:space="preserve">Yes, an initial meeting has been held with GP nominated representatives to discuss the service requirements. A further meeting will be planned when we know which Care Homes have signed up to deliver the service. We can then agree a standardised approach around patient registration.  </w:t>
            </w:r>
          </w:p>
        </w:tc>
      </w:tr>
      <w:tr w:rsidR="00F56F80" w14:paraId="21F12D85" w14:textId="77777777" w:rsidTr="00F56F80">
        <w:trPr>
          <w:trHeight w:val="680"/>
        </w:trPr>
        <w:tc>
          <w:tcPr>
            <w:tcW w:w="10348" w:type="dxa"/>
            <w:shd w:val="clear" w:color="auto" w:fill="DEEAF6" w:themeFill="accent5" w:themeFillTint="33"/>
            <w:vAlign w:val="center"/>
          </w:tcPr>
          <w:p w14:paraId="1A253F11" w14:textId="4F2903DF" w:rsidR="00F56F80" w:rsidRPr="003275CA" w:rsidRDefault="00F56F80" w:rsidP="003275CA">
            <w:pPr>
              <w:pStyle w:val="ListParagraph"/>
              <w:numPr>
                <w:ilvl w:val="0"/>
                <w:numId w:val="3"/>
              </w:numPr>
              <w:jc w:val="both"/>
              <w:rPr>
                <w:rFonts w:ascii="Arial" w:hAnsi="Arial" w:cs="Arial"/>
              </w:rPr>
            </w:pPr>
            <w:r w:rsidRPr="003275CA">
              <w:rPr>
                <w:rFonts w:ascii="Arial" w:hAnsi="Arial" w:cs="Arial"/>
              </w:rPr>
              <w:t>What happens if someone is very distressed/goes into crisis and they are not suitable to stay in the Care Home?</w:t>
            </w:r>
          </w:p>
        </w:tc>
      </w:tr>
      <w:tr w:rsidR="00F56F80" w14:paraId="24D3CE44" w14:textId="77777777" w:rsidTr="00F56F80">
        <w:trPr>
          <w:trHeight w:val="1247"/>
        </w:trPr>
        <w:tc>
          <w:tcPr>
            <w:tcW w:w="10348" w:type="dxa"/>
            <w:vAlign w:val="center"/>
          </w:tcPr>
          <w:p w14:paraId="16390725" w14:textId="4BA5B18A" w:rsidR="00F56F80" w:rsidRPr="008E627D" w:rsidRDefault="00F56F80" w:rsidP="00F56F80">
            <w:pPr>
              <w:rPr>
                <w:rFonts w:ascii="Arial" w:hAnsi="Arial" w:cs="Arial"/>
              </w:rPr>
            </w:pPr>
            <w:r>
              <w:rPr>
                <w:rFonts w:ascii="Arial" w:hAnsi="Arial" w:cs="Arial"/>
              </w:rPr>
              <w:t xml:space="preserve">This will need to be escalated to the Social Work and Care Home Liaison Teams who will support by undertaking a further assessment/review of the individual to determine the best course of action and whether the person can remain in the Care Home with additional support/interventions or if they require an alternate short term placement sourcing. </w:t>
            </w:r>
          </w:p>
        </w:tc>
      </w:tr>
      <w:tr w:rsidR="00F56F80" w14:paraId="5CD3403A" w14:textId="77777777" w:rsidTr="00F56F80">
        <w:trPr>
          <w:trHeight w:val="567"/>
        </w:trPr>
        <w:tc>
          <w:tcPr>
            <w:tcW w:w="10348" w:type="dxa"/>
            <w:shd w:val="clear" w:color="auto" w:fill="5B9BD5" w:themeFill="accent5"/>
            <w:vAlign w:val="center"/>
          </w:tcPr>
          <w:p w14:paraId="31712633" w14:textId="77777777" w:rsidR="00F56F80" w:rsidRPr="006030D2" w:rsidRDefault="00F56F80" w:rsidP="00F56F80">
            <w:pPr>
              <w:jc w:val="both"/>
              <w:rPr>
                <w:rFonts w:ascii="Arial" w:hAnsi="Arial" w:cs="Arial"/>
                <w:highlight w:val="yellow"/>
              </w:rPr>
            </w:pPr>
          </w:p>
        </w:tc>
      </w:tr>
    </w:tbl>
    <w:p w14:paraId="1E6F1C52" w14:textId="77777777" w:rsidR="00540040" w:rsidRDefault="00540040" w:rsidP="00C752BD">
      <w:pPr>
        <w:rPr>
          <w:rFonts w:ascii="Arial" w:hAnsi="Arial" w:cs="Arial"/>
        </w:rPr>
      </w:pPr>
    </w:p>
    <w:p w14:paraId="5FB9763B" w14:textId="77777777" w:rsidR="00B3317E" w:rsidRDefault="00B3317E" w:rsidP="00C752BD">
      <w:pPr>
        <w:rPr>
          <w:rFonts w:ascii="Arial" w:hAnsi="Arial" w:cs="Arial"/>
        </w:rPr>
      </w:pPr>
    </w:p>
    <w:tbl>
      <w:tblPr>
        <w:tblStyle w:val="TableGrid"/>
        <w:tblW w:w="10348" w:type="dxa"/>
        <w:tblInd w:w="-714" w:type="dxa"/>
        <w:tblLook w:val="04A0" w:firstRow="1" w:lastRow="0" w:firstColumn="1" w:lastColumn="0" w:noHBand="0" w:noVBand="1"/>
      </w:tblPr>
      <w:tblGrid>
        <w:gridCol w:w="10348"/>
      </w:tblGrid>
      <w:tr w:rsidR="00093249" w14:paraId="3DFD4459" w14:textId="77777777" w:rsidTr="00F56F80">
        <w:trPr>
          <w:trHeight w:val="567"/>
        </w:trPr>
        <w:tc>
          <w:tcPr>
            <w:tcW w:w="10348" w:type="dxa"/>
            <w:shd w:val="clear" w:color="auto" w:fill="70AD47" w:themeFill="accent6"/>
            <w:vAlign w:val="center"/>
          </w:tcPr>
          <w:p w14:paraId="6DED26FA" w14:textId="538633EC" w:rsidR="00093249" w:rsidRPr="00093249" w:rsidRDefault="00093249" w:rsidP="00093249">
            <w:pPr>
              <w:jc w:val="center"/>
              <w:rPr>
                <w:rFonts w:ascii="Arial" w:hAnsi="Arial" w:cs="Arial"/>
                <w:b/>
                <w:bCs/>
              </w:rPr>
            </w:pPr>
            <w:r w:rsidRPr="00093249">
              <w:rPr>
                <w:rFonts w:ascii="Arial" w:hAnsi="Arial" w:cs="Arial"/>
                <w:b/>
                <w:bCs/>
                <w:sz w:val="24"/>
                <w:szCs w:val="24"/>
              </w:rPr>
              <w:lastRenderedPageBreak/>
              <w:t>Funding</w:t>
            </w:r>
          </w:p>
        </w:tc>
      </w:tr>
      <w:tr w:rsidR="00F56F80" w14:paraId="7F7E8E20" w14:textId="77777777" w:rsidTr="00F56F80">
        <w:trPr>
          <w:trHeight w:val="567"/>
        </w:trPr>
        <w:tc>
          <w:tcPr>
            <w:tcW w:w="10348" w:type="dxa"/>
            <w:shd w:val="clear" w:color="auto" w:fill="E2EFD9" w:themeFill="accent6" w:themeFillTint="33"/>
            <w:vAlign w:val="center"/>
          </w:tcPr>
          <w:p w14:paraId="762B8AF3" w14:textId="525D64D6" w:rsidR="00F56F80" w:rsidRPr="003275CA" w:rsidRDefault="00F56F80" w:rsidP="003275CA">
            <w:pPr>
              <w:pStyle w:val="ListParagraph"/>
              <w:numPr>
                <w:ilvl w:val="0"/>
                <w:numId w:val="3"/>
              </w:numPr>
              <w:jc w:val="both"/>
              <w:rPr>
                <w:rFonts w:ascii="Arial" w:hAnsi="Arial" w:cs="Arial"/>
              </w:rPr>
            </w:pPr>
            <w:r w:rsidRPr="003275CA">
              <w:rPr>
                <w:rFonts w:ascii="Arial" w:hAnsi="Arial" w:cs="Arial"/>
              </w:rPr>
              <w:t>Is there any room for negotiation on the price being offered as this feels very low for the work required?</w:t>
            </w:r>
          </w:p>
        </w:tc>
      </w:tr>
      <w:tr w:rsidR="00F56F80" w14:paraId="32355634" w14:textId="77777777" w:rsidTr="00F56F80">
        <w:trPr>
          <w:trHeight w:val="567"/>
        </w:trPr>
        <w:tc>
          <w:tcPr>
            <w:tcW w:w="10348" w:type="dxa"/>
            <w:vAlign w:val="center"/>
          </w:tcPr>
          <w:p w14:paraId="7B6D7BDA" w14:textId="63F2426E" w:rsidR="00F56F80" w:rsidRPr="00540040" w:rsidRDefault="00F56F80" w:rsidP="00F56F80">
            <w:pPr>
              <w:jc w:val="both"/>
              <w:rPr>
                <w:rFonts w:ascii="Arial" w:hAnsi="Arial" w:cs="Arial"/>
              </w:rPr>
            </w:pPr>
            <w:r>
              <w:rPr>
                <w:rFonts w:ascii="Arial" w:hAnsi="Arial" w:cs="Arial"/>
              </w:rPr>
              <w:t xml:space="preserve">Unfortunately, not the rates proposed are the current rates on offer. </w:t>
            </w:r>
          </w:p>
        </w:tc>
      </w:tr>
      <w:tr w:rsidR="00F56F80" w14:paraId="4E58A815" w14:textId="77777777" w:rsidTr="00B3317E">
        <w:trPr>
          <w:trHeight w:val="1247"/>
        </w:trPr>
        <w:tc>
          <w:tcPr>
            <w:tcW w:w="10348" w:type="dxa"/>
            <w:shd w:val="clear" w:color="auto" w:fill="E2EFD9" w:themeFill="accent6" w:themeFillTint="33"/>
            <w:vAlign w:val="center"/>
          </w:tcPr>
          <w:p w14:paraId="79124E74" w14:textId="2423D3F5" w:rsidR="00F56F80" w:rsidRPr="003275CA" w:rsidRDefault="00F56F80" w:rsidP="003275CA">
            <w:pPr>
              <w:pStyle w:val="ListParagraph"/>
              <w:numPr>
                <w:ilvl w:val="0"/>
                <w:numId w:val="3"/>
              </w:numPr>
              <w:jc w:val="both"/>
              <w:rPr>
                <w:rFonts w:ascii="Arial" w:hAnsi="Arial" w:cs="Arial"/>
              </w:rPr>
            </w:pPr>
            <w:r w:rsidRPr="003275CA">
              <w:rPr>
                <w:rFonts w:ascii="Arial" w:hAnsi="Arial" w:cs="Arial"/>
              </w:rPr>
              <w:t>The financial aspects of the service, including the all-inclusive DTA rate and the policy on not allowing top-ups during the DTA placement: the nursing rate and the residential rate are low, ideally, we would be allowed to charge a top up on these to ensure feasibility. Especially on nursing placements given the clinical complexity of admissions were seeing.</w:t>
            </w:r>
          </w:p>
        </w:tc>
      </w:tr>
      <w:tr w:rsidR="00F56F80" w14:paraId="21943F70" w14:textId="77777777" w:rsidTr="00F56F80">
        <w:trPr>
          <w:trHeight w:val="1020"/>
        </w:trPr>
        <w:tc>
          <w:tcPr>
            <w:tcW w:w="10348" w:type="dxa"/>
            <w:vAlign w:val="center"/>
          </w:tcPr>
          <w:p w14:paraId="61C018E0" w14:textId="77777777" w:rsidR="00F56F80" w:rsidRDefault="00F56F80" w:rsidP="00F56F80">
            <w:pPr>
              <w:jc w:val="both"/>
              <w:rPr>
                <w:rFonts w:ascii="Arial" w:hAnsi="Arial" w:cs="Arial"/>
              </w:rPr>
            </w:pPr>
            <w:r w:rsidRPr="008E627D">
              <w:rPr>
                <w:rFonts w:ascii="Arial" w:hAnsi="Arial" w:cs="Arial"/>
              </w:rPr>
              <w:t>The rates have been considered and agreed by system leads within the NHS and CBMDC.</w:t>
            </w:r>
            <w:r>
              <w:rPr>
                <w:rFonts w:ascii="Arial" w:hAnsi="Arial" w:cs="Arial"/>
              </w:rPr>
              <w:t xml:space="preserve"> </w:t>
            </w:r>
            <w:r w:rsidRPr="008E627D">
              <w:rPr>
                <w:rFonts w:ascii="Arial" w:hAnsi="Arial" w:cs="Arial"/>
              </w:rPr>
              <w:t>The</w:t>
            </w:r>
            <w:r>
              <w:rPr>
                <w:rFonts w:ascii="Arial" w:hAnsi="Arial" w:cs="Arial"/>
              </w:rPr>
              <w:t xml:space="preserve"> r</w:t>
            </w:r>
            <w:r w:rsidRPr="008E627D">
              <w:rPr>
                <w:rFonts w:ascii="Arial" w:hAnsi="Arial" w:cs="Arial"/>
              </w:rPr>
              <w:t>ates</w:t>
            </w:r>
            <w:r>
              <w:rPr>
                <w:rFonts w:ascii="Arial" w:hAnsi="Arial" w:cs="Arial"/>
              </w:rPr>
              <w:t xml:space="preserve"> proposed</w:t>
            </w:r>
            <w:r w:rsidRPr="008E627D">
              <w:rPr>
                <w:rFonts w:ascii="Arial" w:hAnsi="Arial" w:cs="Arial"/>
              </w:rPr>
              <w:t xml:space="preserve"> have considered the level of service that will be required to support individuals on Pathway 3.</w:t>
            </w:r>
          </w:p>
          <w:p w14:paraId="3A3515DB" w14:textId="7B83B09D" w:rsidR="00F56F80" w:rsidRPr="00676456" w:rsidRDefault="00F56F80" w:rsidP="00F56F80">
            <w:pPr>
              <w:jc w:val="both"/>
              <w:rPr>
                <w:rFonts w:ascii="Arial" w:hAnsi="Arial" w:cs="Arial"/>
              </w:rPr>
            </w:pPr>
            <w:r>
              <w:rPr>
                <w:rFonts w:ascii="Arial" w:hAnsi="Arial" w:cs="Arial"/>
              </w:rPr>
              <w:t xml:space="preserve">There will be no top ups allowed during the DTA period. </w:t>
            </w:r>
          </w:p>
        </w:tc>
      </w:tr>
      <w:tr w:rsidR="00F56F80" w14:paraId="65C0303F" w14:textId="77777777" w:rsidTr="00F56F80">
        <w:trPr>
          <w:trHeight w:val="567"/>
        </w:trPr>
        <w:tc>
          <w:tcPr>
            <w:tcW w:w="10348" w:type="dxa"/>
            <w:shd w:val="clear" w:color="auto" w:fill="E2EFD9" w:themeFill="accent6" w:themeFillTint="33"/>
            <w:vAlign w:val="center"/>
          </w:tcPr>
          <w:p w14:paraId="446159D6" w14:textId="0557640D" w:rsidR="00F56F80" w:rsidRPr="003275CA" w:rsidRDefault="00F56F80" w:rsidP="003275CA">
            <w:pPr>
              <w:pStyle w:val="ListParagraph"/>
              <w:numPr>
                <w:ilvl w:val="0"/>
                <w:numId w:val="3"/>
              </w:numPr>
              <w:jc w:val="both"/>
              <w:rPr>
                <w:rFonts w:ascii="Arial" w:hAnsi="Arial" w:cs="Arial"/>
              </w:rPr>
            </w:pPr>
            <w:r w:rsidRPr="003275CA">
              <w:rPr>
                <w:rFonts w:ascii="Arial" w:hAnsi="Arial" w:cs="Arial"/>
              </w:rPr>
              <w:t>Will there be a minimum payment period e.g., 7 days?</w:t>
            </w:r>
          </w:p>
        </w:tc>
      </w:tr>
      <w:tr w:rsidR="00F56F80" w14:paraId="6D359A4E" w14:textId="77777777" w:rsidTr="00F56F80">
        <w:trPr>
          <w:trHeight w:val="567"/>
        </w:trPr>
        <w:tc>
          <w:tcPr>
            <w:tcW w:w="10348" w:type="dxa"/>
            <w:vAlign w:val="center"/>
          </w:tcPr>
          <w:p w14:paraId="59AA16B2" w14:textId="0C6BF574" w:rsidR="00F56F80" w:rsidRPr="008E627D" w:rsidRDefault="00F56F80" w:rsidP="00F56F80">
            <w:pPr>
              <w:rPr>
                <w:rFonts w:ascii="Arial" w:hAnsi="Arial" w:cs="Arial"/>
              </w:rPr>
            </w:pPr>
            <w:r>
              <w:rPr>
                <w:rFonts w:ascii="Arial" w:hAnsi="Arial" w:cs="Arial"/>
              </w:rPr>
              <w:t>No, this is not something that will be offered.</w:t>
            </w:r>
          </w:p>
        </w:tc>
      </w:tr>
      <w:tr w:rsidR="00F56F80" w14:paraId="0A322D23" w14:textId="77777777" w:rsidTr="00F56F80">
        <w:trPr>
          <w:trHeight w:val="567"/>
        </w:trPr>
        <w:tc>
          <w:tcPr>
            <w:tcW w:w="10348" w:type="dxa"/>
            <w:shd w:val="clear" w:color="auto" w:fill="E2EFD9" w:themeFill="accent6" w:themeFillTint="33"/>
            <w:vAlign w:val="center"/>
          </w:tcPr>
          <w:p w14:paraId="5F423683" w14:textId="557FC19E" w:rsidR="00F56F80" w:rsidRPr="003275CA" w:rsidRDefault="00F56F80" w:rsidP="003275CA">
            <w:pPr>
              <w:pStyle w:val="ListParagraph"/>
              <w:numPr>
                <w:ilvl w:val="0"/>
                <w:numId w:val="3"/>
              </w:numPr>
              <w:jc w:val="both"/>
              <w:rPr>
                <w:rFonts w:ascii="Arial" w:hAnsi="Arial" w:cs="Arial"/>
              </w:rPr>
            </w:pPr>
            <w:r w:rsidRPr="003275CA">
              <w:rPr>
                <w:rFonts w:ascii="Arial" w:hAnsi="Arial" w:cs="Arial"/>
              </w:rPr>
              <w:t>If a person is in receipt of Attendance Allowance will this stop during the DTA period?</w:t>
            </w:r>
          </w:p>
        </w:tc>
      </w:tr>
      <w:tr w:rsidR="00F56F80" w14:paraId="3D59837C" w14:textId="77777777" w:rsidTr="00F56F80">
        <w:trPr>
          <w:trHeight w:val="2551"/>
        </w:trPr>
        <w:tc>
          <w:tcPr>
            <w:tcW w:w="10348" w:type="dxa"/>
            <w:vAlign w:val="center"/>
          </w:tcPr>
          <w:p w14:paraId="0288B15D" w14:textId="77777777" w:rsidR="00F56F80" w:rsidRDefault="00F56F80" w:rsidP="00F56F80">
            <w:pPr>
              <w:jc w:val="both"/>
              <w:rPr>
                <w:rFonts w:ascii="Arial" w:hAnsi="Arial" w:cs="Arial"/>
              </w:rPr>
            </w:pPr>
            <w:r w:rsidRPr="006236D7">
              <w:rPr>
                <w:rFonts w:ascii="Arial" w:hAnsi="Arial" w:cs="Arial"/>
              </w:rPr>
              <w:t>Attendance Allowance stops when the person has been away from home for more than a 28-day period, either in hospital or in a care home, so it is likely that if the person has been in hospital for 4 weeks it will have stopped by the time they go in a DTA bed or if in hospital for 2 weeks then it would be payable for 2 weeks of the DTA period (in a Care Home).</w:t>
            </w:r>
          </w:p>
          <w:p w14:paraId="5108FEDF" w14:textId="77777777" w:rsidR="00F56F80" w:rsidRPr="006236D7" w:rsidRDefault="00F56F80" w:rsidP="00F56F80">
            <w:pPr>
              <w:jc w:val="both"/>
              <w:rPr>
                <w:rFonts w:ascii="Arial" w:hAnsi="Arial" w:cs="Arial"/>
              </w:rPr>
            </w:pPr>
          </w:p>
          <w:p w14:paraId="612692CB" w14:textId="77777777" w:rsidR="00F56F80" w:rsidRDefault="00F56F80" w:rsidP="00F56F80">
            <w:pPr>
              <w:jc w:val="both"/>
              <w:rPr>
                <w:rFonts w:ascii="Arial" w:hAnsi="Arial" w:cs="Arial"/>
              </w:rPr>
            </w:pPr>
            <w:r w:rsidRPr="006236D7">
              <w:rPr>
                <w:rFonts w:ascii="Arial" w:hAnsi="Arial" w:cs="Arial"/>
              </w:rPr>
              <w:t>The benefit is not stopped automatically, we are reliant on the person/financial rep contacting the Department of Work and Pensions (DWP) with the dates of admission to hospital/Care Home.</w:t>
            </w:r>
          </w:p>
          <w:p w14:paraId="1FDA682A" w14:textId="77777777" w:rsidR="00F56F80" w:rsidRPr="006236D7" w:rsidRDefault="00F56F80" w:rsidP="00F56F80">
            <w:pPr>
              <w:jc w:val="both"/>
              <w:rPr>
                <w:rFonts w:ascii="Arial" w:hAnsi="Arial" w:cs="Arial"/>
              </w:rPr>
            </w:pPr>
          </w:p>
          <w:p w14:paraId="41FA609F" w14:textId="4CABC46F" w:rsidR="00F56F80" w:rsidRPr="00540040" w:rsidRDefault="00F56F80" w:rsidP="00F56F80">
            <w:pPr>
              <w:jc w:val="both"/>
              <w:rPr>
                <w:rFonts w:ascii="Arial" w:hAnsi="Arial" w:cs="Arial"/>
              </w:rPr>
            </w:pPr>
            <w:r w:rsidRPr="006236D7">
              <w:rPr>
                <w:rFonts w:ascii="Arial" w:hAnsi="Arial" w:cs="Arial"/>
              </w:rPr>
              <w:t>The DWP will then suspend the benefit until they are notified again of a further change in circumstances</w:t>
            </w:r>
            <w:r>
              <w:rPr>
                <w:rFonts w:ascii="Arial" w:hAnsi="Arial" w:cs="Arial"/>
              </w:rPr>
              <w:t>.</w:t>
            </w:r>
          </w:p>
        </w:tc>
      </w:tr>
      <w:tr w:rsidR="00F56F80" w14:paraId="1F73958D" w14:textId="77777777" w:rsidTr="00F56F80">
        <w:trPr>
          <w:trHeight w:val="680"/>
        </w:trPr>
        <w:tc>
          <w:tcPr>
            <w:tcW w:w="10348" w:type="dxa"/>
            <w:shd w:val="clear" w:color="auto" w:fill="E2EFD9" w:themeFill="accent6" w:themeFillTint="33"/>
            <w:vAlign w:val="center"/>
          </w:tcPr>
          <w:p w14:paraId="2E161014" w14:textId="6AA38C7C" w:rsidR="00F56F80" w:rsidRPr="003275CA" w:rsidRDefault="00F56F80" w:rsidP="003275CA">
            <w:pPr>
              <w:pStyle w:val="ListParagraph"/>
              <w:numPr>
                <w:ilvl w:val="0"/>
                <w:numId w:val="3"/>
              </w:numPr>
              <w:jc w:val="both"/>
              <w:rPr>
                <w:rFonts w:ascii="Arial" w:hAnsi="Arial" w:cs="Arial"/>
              </w:rPr>
            </w:pPr>
            <w:r w:rsidRPr="003275CA">
              <w:rPr>
                <w:rFonts w:ascii="Arial" w:hAnsi="Arial" w:cs="Arial"/>
              </w:rPr>
              <w:t>If after DTA period the person needs long term care and has sufficient funds to pay for their own care, can they retain Attendance Allowance, PIPs etc or do they lose or need to re-apply?</w:t>
            </w:r>
          </w:p>
        </w:tc>
      </w:tr>
      <w:tr w:rsidR="00F56F80" w14:paraId="2FD84C9C" w14:textId="77777777" w:rsidTr="00F56F80">
        <w:trPr>
          <w:trHeight w:val="4195"/>
        </w:trPr>
        <w:tc>
          <w:tcPr>
            <w:tcW w:w="10348" w:type="dxa"/>
            <w:vAlign w:val="center"/>
          </w:tcPr>
          <w:p w14:paraId="2A162F4E" w14:textId="42557844" w:rsidR="00F56F80" w:rsidRPr="006236D7" w:rsidRDefault="00F56F80" w:rsidP="00F56F80">
            <w:pPr>
              <w:jc w:val="both"/>
              <w:rPr>
                <w:rFonts w:ascii="Arial" w:hAnsi="Arial" w:cs="Arial"/>
              </w:rPr>
            </w:pPr>
            <w:r w:rsidRPr="006236D7">
              <w:rPr>
                <w:rFonts w:ascii="Arial" w:hAnsi="Arial" w:cs="Arial"/>
              </w:rPr>
              <w:t xml:space="preserve">As a self-funder, with money in the bank, the person will keep their Attendance Allowance.  </w:t>
            </w:r>
          </w:p>
          <w:p w14:paraId="3021984E" w14:textId="77777777" w:rsidR="00F56F80" w:rsidRDefault="00F56F80" w:rsidP="00F56F80">
            <w:pPr>
              <w:jc w:val="both"/>
              <w:rPr>
                <w:rFonts w:ascii="Arial" w:hAnsi="Arial" w:cs="Arial"/>
              </w:rPr>
            </w:pPr>
            <w:r w:rsidRPr="006236D7">
              <w:rPr>
                <w:rFonts w:ascii="Arial" w:hAnsi="Arial" w:cs="Arial"/>
              </w:rPr>
              <w:t>If they are already in receipt of it, they do not need to re-apply unless they are on the lower rate and are claiming for the higher rate.</w:t>
            </w:r>
          </w:p>
          <w:p w14:paraId="0F421AA7" w14:textId="77777777" w:rsidR="00F56F80" w:rsidRPr="006236D7" w:rsidRDefault="00F56F80" w:rsidP="00F56F80">
            <w:pPr>
              <w:jc w:val="both"/>
              <w:rPr>
                <w:rFonts w:ascii="Arial" w:hAnsi="Arial" w:cs="Arial"/>
              </w:rPr>
            </w:pPr>
          </w:p>
          <w:p w14:paraId="16F54B51" w14:textId="76053F2C" w:rsidR="00F56F80" w:rsidRDefault="00F56F80" w:rsidP="00F56F80">
            <w:pPr>
              <w:jc w:val="both"/>
              <w:rPr>
                <w:rFonts w:ascii="Arial" w:hAnsi="Arial" w:cs="Arial"/>
              </w:rPr>
            </w:pPr>
            <w:r w:rsidRPr="006236D7">
              <w:rPr>
                <w:rFonts w:ascii="Arial" w:hAnsi="Arial" w:cs="Arial"/>
              </w:rPr>
              <w:t>There seems to have been a change in the way the Department of work and Pension pay Attendance Allowance for those who are self-funders due to owning a property they are not living in. Previously when the Local Authority offer a Deferred Payment, Attendance Allowance would remain in payment as the person is technically self-funding due to the debt building up against the property then being paid back at the point the property sells.</w:t>
            </w:r>
          </w:p>
          <w:p w14:paraId="5B57184C" w14:textId="77777777" w:rsidR="00F56F80" w:rsidRPr="006236D7" w:rsidRDefault="00F56F80" w:rsidP="00F56F80">
            <w:pPr>
              <w:jc w:val="both"/>
              <w:rPr>
                <w:rFonts w:ascii="Arial" w:hAnsi="Arial" w:cs="Arial"/>
              </w:rPr>
            </w:pPr>
          </w:p>
          <w:p w14:paraId="374C0C74" w14:textId="248DA516" w:rsidR="00F56F80" w:rsidRDefault="00F56F80" w:rsidP="00F56F80">
            <w:pPr>
              <w:jc w:val="both"/>
              <w:rPr>
                <w:rFonts w:ascii="Arial" w:hAnsi="Arial" w:cs="Arial"/>
              </w:rPr>
            </w:pPr>
            <w:r w:rsidRPr="006236D7">
              <w:rPr>
                <w:rFonts w:ascii="Arial" w:hAnsi="Arial" w:cs="Arial"/>
              </w:rPr>
              <w:t xml:space="preserve">Currently </w:t>
            </w:r>
            <w:r>
              <w:rPr>
                <w:rFonts w:ascii="Arial" w:hAnsi="Arial" w:cs="Arial"/>
              </w:rPr>
              <w:t>the Local Authority</w:t>
            </w:r>
            <w:r w:rsidRPr="006236D7">
              <w:rPr>
                <w:rFonts w:ascii="Arial" w:hAnsi="Arial" w:cs="Arial"/>
              </w:rPr>
              <w:t xml:space="preserve"> Contracts Team have come across cases where the DWP have advised that they will not pay the Attendance Allowance whilst the Deferred Payment is in place but will pay this back as a lump sum once the property has been sold.</w:t>
            </w:r>
          </w:p>
          <w:p w14:paraId="7B8686BE" w14:textId="77777777" w:rsidR="00F56F80" w:rsidRPr="006236D7" w:rsidRDefault="00F56F80" w:rsidP="00F56F80">
            <w:pPr>
              <w:jc w:val="both"/>
              <w:rPr>
                <w:rFonts w:ascii="Arial" w:hAnsi="Arial" w:cs="Arial"/>
              </w:rPr>
            </w:pPr>
          </w:p>
          <w:p w14:paraId="303D043C" w14:textId="12FA93D4" w:rsidR="00F56F80" w:rsidRPr="00676456" w:rsidRDefault="00F56F80" w:rsidP="00F56F80">
            <w:pPr>
              <w:jc w:val="both"/>
              <w:rPr>
                <w:rFonts w:ascii="Arial" w:hAnsi="Arial" w:cs="Arial"/>
              </w:rPr>
            </w:pPr>
            <w:r w:rsidRPr="006236D7">
              <w:rPr>
                <w:rFonts w:ascii="Arial" w:hAnsi="Arial" w:cs="Arial"/>
              </w:rPr>
              <w:t>This is something we are trying to get a clear answer on as it is a change, we have only been made aware of through families coming back to us after we have provided advice.</w:t>
            </w:r>
          </w:p>
        </w:tc>
      </w:tr>
      <w:tr w:rsidR="00F56F80" w14:paraId="0BBC2769" w14:textId="77777777" w:rsidTr="00F56F80">
        <w:trPr>
          <w:trHeight w:val="1020"/>
        </w:trPr>
        <w:tc>
          <w:tcPr>
            <w:tcW w:w="10348" w:type="dxa"/>
            <w:shd w:val="clear" w:color="auto" w:fill="E2EFD9" w:themeFill="accent6" w:themeFillTint="33"/>
            <w:vAlign w:val="center"/>
          </w:tcPr>
          <w:p w14:paraId="7D88FF6E" w14:textId="2C95CC5D" w:rsidR="00F56F80" w:rsidRPr="003275CA" w:rsidRDefault="00F56F80" w:rsidP="003275CA">
            <w:pPr>
              <w:pStyle w:val="ListParagraph"/>
              <w:numPr>
                <w:ilvl w:val="0"/>
                <w:numId w:val="3"/>
              </w:numPr>
              <w:jc w:val="both"/>
              <w:rPr>
                <w:rFonts w:ascii="Arial" w:hAnsi="Arial" w:cs="Arial"/>
              </w:rPr>
            </w:pPr>
            <w:r w:rsidRPr="003275CA">
              <w:rPr>
                <w:rFonts w:ascii="Arial" w:hAnsi="Arial" w:cs="Arial"/>
              </w:rPr>
              <w:lastRenderedPageBreak/>
              <w:t xml:space="preserve">If a person has been in hospital for a few weeks e.g., after having a stroke and then spends 4 weeks in a Care Home on DTA, could they lose rent allowance and any other benefits which may cease after six or eight weeks? </w:t>
            </w:r>
          </w:p>
        </w:tc>
      </w:tr>
      <w:tr w:rsidR="00F56F80" w14:paraId="09E1879E" w14:textId="77777777" w:rsidTr="00F56F80">
        <w:trPr>
          <w:trHeight w:val="3402"/>
        </w:trPr>
        <w:tc>
          <w:tcPr>
            <w:tcW w:w="10348" w:type="dxa"/>
            <w:vAlign w:val="center"/>
          </w:tcPr>
          <w:p w14:paraId="3BD7B056" w14:textId="66D3BBC0" w:rsidR="00F56F80" w:rsidRDefault="00F56F80" w:rsidP="00F56F80">
            <w:pPr>
              <w:jc w:val="both"/>
              <w:rPr>
                <w:rFonts w:ascii="Arial" w:hAnsi="Arial" w:cs="Arial"/>
              </w:rPr>
            </w:pPr>
            <w:r w:rsidRPr="008E627D">
              <w:rPr>
                <w:rFonts w:ascii="Arial" w:hAnsi="Arial" w:cs="Arial"/>
              </w:rPr>
              <w:t xml:space="preserve">We would advise anyone in receipt of Housing Benefit to ensure that they inform both the </w:t>
            </w:r>
            <w:r>
              <w:rPr>
                <w:rFonts w:ascii="Arial" w:hAnsi="Arial" w:cs="Arial"/>
              </w:rPr>
              <w:t>DWP</w:t>
            </w:r>
            <w:r w:rsidRPr="008E627D">
              <w:rPr>
                <w:rFonts w:ascii="Arial" w:hAnsi="Arial" w:cs="Arial"/>
              </w:rPr>
              <w:t xml:space="preserve"> and Housing Benefit Department of their temporary hospital and temporary Care Home stay to ensure that their means tested benefits remain in place for the temporary period.</w:t>
            </w:r>
          </w:p>
          <w:p w14:paraId="5C94B639" w14:textId="77777777" w:rsidR="00F56F80" w:rsidRPr="008E627D" w:rsidRDefault="00F56F80" w:rsidP="00F56F80">
            <w:pPr>
              <w:jc w:val="both"/>
              <w:rPr>
                <w:rFonts w:ascii="Arial" w:hAnsi="Arial" w:cs="Arial"/>
              </w:rPr>
            </w:pPr>
          </w:p>
          <w:p w14:paraId="501F8086" w14:textId="77777777" w:rsidR="00F56F80" w:rsidRDefault="00F56F80" w:rsidP="00F56F80">
            <w:pPr>
              <w:jc w:val="both"/>
              <w:rPr>
                <w:rFonts w:ascii="Arial" w:hAnsi="Arial" w:cs="Arial"/>
              </w:rPr>
            </w:pPr>
            <w:r w:rsidRPr="008E627D">
              <w:rPr>
                <w:rFonts w:ascii="Arial" w:hAnsi="Arial" w:cs="Arial"/>
              </w:rPr>
              <w:t>At the point they return home, again they should inform DWP/Housing Benefit and the same applies.</w:t>
            </w:r>
          </w:p>
          <w:p w14:paraId="63926A05" w14:textId="77777777" w:rsidR="00F56F80" w:rsidRPr="008E627D" w:rsidRDefault="00F56F80" w:rsidP="00F56F80">
            <w:pPr>
              <w:jc w:val="both"/>
              <w:rPr>
                <w:rFonts w:ascii="Arial" w:hAnsi="Arial" w:cs="Arial"/>
              </w:rPr>
            </w:pPr>
          </w:p>
          <w:p w14:paraId="02FA3DC0" w14:textId="77777777" w:rsidR="00F56F80" w:rsidRDefault="00F56F80" w:rsidP="00F56F80">
            <w:pPr>
              <w:jc w:val="both"/>
              <w:rPr>
                <w:rFonts w:ascii="Arial" w:hAnsi="Arial" w:cs="Arial"/>
              </w:rPr>
            </w:pPr>
            <w:r w:rsidRPr="008E627D">
              <w:rPr>
                <w:rFonts w:ascii="Arial" w:hAnsi="Arial" w:cs="Arial"/>
              </w:rPr>
              <w:t>If the Care Home stay becomes a permanent placement, the person should inform the DWP and then also look to give notice on their tenancy.</w:t>
            </w:r>
          </w:p>
          <w:p w14:paraId="551FB2DC" w14:textId="77777777" w:rsidR="00F56F80" w:rsidRPr="008E627D" w:rsidRDefault="00F56F80" w:rsidP="00F56F80">
            <w:pPr>
              <w:jc w:val="both"/>
              <w:rPr>
                <w:rFonts w:ascii="Arial" w:hAnsi="Arial" w:cs="Arial"/>
              </w:rPr>
            </w:pPr>
          </w:p>
          <w:p w14:paraId="642566B1" w14:textId="650530B7" w:rsidR="00F56F80" w:rsidRPr="006236D7" w:rsidRDefault="00F56F80" w:rsidP="00F56F80">
            <w:pPr>
              <w:jc w:val="both"/>
              <w:rPr>
                <w:rFonts w:ascii="Arial" w:hAnsi="Arial" w:cs="Arial"/>
              </w:rPr>
            </w:pPr>
            <w:r w:rsidRPr="008E627D">
              <w:rPr>
                <w:rFonts w:ascii="Arial" w:hAnsi="Arial" w:cs="Arial"/>
              </w:rPr>
              <w:t xml:space="preserve">By informing </w:t>
            </w:r>
            <w:r>
              <w:rPr>
                <w:rFonts w:ascii="Arial" w:hAnsi="Arial" w:cs="Arial"/>
              </w:rPr>
              <w:t xml:space="preserve">the </w:t>
            </w:r>
            <w:r w:rsidRPr="008E627D">
              <w:rPr>
                <w:rFonts w:ascii="Arial" w:hAnsi="Arial" w:cs="Arial"/>
              </w:rPr>
              <w:t>DWP</w:t>
            </w:r>
            <w:r>
              <w:rPr>
                <w:rFonts w:ascii="Arial" w:hAnsi="Arial" w:cs="Arial"/>
              </w:rPr>
              <w:t xml:space="preserve"> and/or </w:t>
            </w:r>
            <w:r w:rsidRPr="008E627D">
              <w:rPr>
                <w:rFonts w:ascii="Arial" w:hAnsi="Arial" w:cs="Arial"/>
              </w:rPr>
              <w:t>Housing Benefit</w:t>
            </w:r>
            <w:r>
              <w:rPr>
                <w:rFonts w:ascii="Arial" w:hAnsi="Arial" w:cs="Arial"/>
              </w:rPr>
              <w:t xml:space="preserve"> department</w:t>
            </w:r>
            <w:r w:rsidRPr="008E627D">
              <w:rPr>
                <w:rFonts w:ascii="Arial" w:hAnsi="Arial" w:cs="Arial"/>
              </w:rPr>
              <w:t xml:space="preserve"> of the temporary stay</w:t>
            </w:r>
            <w:r>
              <w:rPr>
                <w:rFonts w:ascii="Arial" w:hAnsi="Arial" w:cs="Arial"/>
              </w:rPr>
              <w:t xml:space="preserve"> </w:t>
            </w:r>
            <w:r w:rsidRPr="008E627D">
              <w:rPr>
                <w:rFonts w:ascii="Arial" w:hAnsi="Arial" w:cs="Arial"/>
              </w:rPr>
              <w:t>these departments would usually review the situation every few months (4,8,13,26 weeks)</w:t>
            </w:r>
            <w:r>
              <w:rPr>
                <w:rFonts w:ascii="Arial" w:hAnsi="Arial" w:cs="Arial"/>
              </w:rPr>
              <w:t xml:space="preserve"> </w:t>
            </w:r>
            <w:r w:rsidRPr="008E627D">
              <w:rPr>
                <w:rFonts w:ascii="Arial" w:hAnsi="Arial" w:cs="Arial"/>
              </w:rPr>
              <w:t>up to a period of 52 weeks</w:t>
            </w:r>
            <w:r>
              <w:rPr>
                <w:rFonts w:ascii="Arial" w:hAnsi="Arial" w:cs="Arial"/>
              </w:rPr>
              <w:t>.</w:t>
            </w:r>
            <w:r w:rsidRPr="008E627D">
              <w:rPr>
                <w:rFonts w:ascii="Arial" w:hAnsi="Arial" w:cs="Arial"/>
              </w:rPr>
              <w:t xml:space="preserve"> </w:t>
            </w:r>
            <w:r>
              <w:rPr>
                <w:rFonts w:ascii="Arial" w:hAnsi="Arial" w:cs="Arial"/>
              </w:rPr>
              <w:t>A</w:t>
            </w:r>
            <w:r w:rsidRPr="008E627D">
              <w:rPr>
                <w:rFonts w:ascii="Arial" w:hAnsi="Arial" w:cs="Arial"/>
              </w:rPr>
              <w:t>t which point it is likely that the period may no longer be classed as temporary.</w:t>
            </w:r>
          </w:p>
        </w:tc>
      </w:tr>
      <w:tr w:rsidR="00F56F80" w14:paraId="24433515" w14:textId="77777777" w:rsidTr="00F56F80">
        <w:trPr>
          <w:trHeight w:val="567"/>
        </w:trPr>
        <w:tc>
          <w:tcPr>
            <w:tcW w:w="10348" w:type="dxa"/>
            <w:shd w:val="clear" w:color="auto" w:fill="70AD47" w:themeFill="accent6"/>
            <w:vAlign w:val="center"/>
          </w:tcPr>
          <w:p w14:paraId="4FCA704E" w14:textId="77777777" w:rsidR="00F56F80" w:rsidRPr="008E627D" w:rsidRDefault="00F56F80" w:rsidP="00F56F80">
            <w:pPr>
              <w:jc w:val="both"/>
              <w:rPr>
                <w:rFonts w:ascii="Arial" w:hAnsi="Arial" w:cs="Arial"/>
              </w:rPr>
            </w:pPr>
          </w:p>
        </w:tc>
      </w:tr>
    </w:tbl>
    <w:p w14:paraId="0FED76C7" w14:textId="77777777" w:rsidR="003F0BBC" w:rsidRPr="00C65373" w:rsidRDefault="003F0BBC" w:rsidP="003F0BBC">
      <w:pPr>
        <w:rPr>
          <w:rFonts w:ascii="Arial" w:hAnsi="Arial" w:cs="Arial"/>
        </w:rPr>
      </w:pPr>
    </w:p>
    <w:sectPr w:rsidR="003F0BBC" w:rsidRPr="00C6537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A7D56" w14:textId="77777777" w:rsidR="00C752BD" w:rsidRDefault="00C752BD" w:rsidP="00C752BD">
      <w:r>
        <w:separator/>
      </w:r>
    </w:p>
  </w:endnote>
  <w:endnote w:type="continuationSeparator" w:id="0">
    <w:p w14:paraId="440000E8" w14:textId="77777777" w:rsidR="00C752BD" w:rsidRDefault="00C752BD" w:rsidP="00C7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661261"/>
      <w:docPartObj>
        <w:docPartGallery w:val="Page Numbers (Bottom of Page)"/>
        <w:docPartUnique/>
      </w:docPartObj>
    </w:sdtPr>
    <w:sdtEndPr/>
    <w:sdtContent>
      <w:p w14:paraId="055E3AB6" w14:textId="12ED09DC" w:rsidR="00C752BD" w:rsidRDefault="00C752BD">
        <w:pPr>
          <w:pStyle w:val="Footer"/>
          <w:jc w:val="right"/>
        </w:pPr>
        <w:r>
          <w:fldChar w:fldCharType="begin"/>
        </w:r>
        <w:r>
          <w:instrText>PAGE   \* MERGEFORMAT</w:instrText>
        </w:r>
        <w:r>
          <w:fldChar w:fldCharType="separate"/>
        </w:r>
        <w:r>
          <w:t>2</w:t>
        </w:r>
        <w:r>
          <w:fldChar w:fldCharType="end"/>
        </w:r>
      </w:p>
    </w:sdtContent>
  </w:sdt>
  <w:p w14:paraId="51D16DC2" w14:textId="77777777" w:rsidR="00C752BD" w:rsidRDefault="00C75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BCDC1" w14:textId="77777777" w:rsidR="00C752BD" w:rsidRDefault="00C752BD" w:rsidP="00C752BD">
      <w:r>
        <w:separator/>
      </w:r>
    </w:p>
  </w:footnote>
  <w:footnote w:type="continuationSeparator" w:id="0">
    <w:p w14:paraId="1C658C99" w14:textId="77777777" w:rsidR="00C752BD" w:rsidRDefault="00C752BD" w:rsidP="00C75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4CDE" w14:textId="6906F1E4" w:rsidR="00C752BD" w:rsidRDefault="00F56F80" w:rsidP="00F56F80">
    <w:pPr>
      <w:pStyle w:val="Header"/>
    </w:pPr>
    <w:r>
      <w:rPr>
        <w:noProof/>
      </w:rPr>
      <mc:AlternateContent>
        <mc:Choice Requires="wps">
          <w:drawing>
            <wp:anchor distT="45720" distB="45720" distL="114300" distR="114300" simplePos="0" relativeHeight="251661312" behindDoc="0" locked="0" layoutInCell="1" allowOverlap="1" wp14:anchorId="4A7A9E8E" wp14:editId="238F9E10">
              <wp:simplePos x="0" y="0"/>
              <wp:positionH relativeFrom="column">
                <wp:posOffset>4092557</wp:posOffset>
              </wp:positionH>
              <wp:positionV relativeFrom="paragraph">
                <wp:posOffset>-170642</wp:posOffset>
              </wp:positionV>
              <wp:extent cx="2360930" cy="1404620"/>
              <wp:effectExtent l="0" t="0" r="12700"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0D8320EC" w14:textId="57F8AE4F" w:rsidR="00F56F80" w:rsidRDefault="00F56F80">
                          <w:r>
                            <w:rPr>
                              <w:noProof/>
                              <w:color w:val="000000"/>
                              <w:lang w:eastAsia="en-GB"/>
                              <w14:ligatures w14:val="none"/>
                            </w:rPr>
                            <w:drawing>
                              <wp:inline distT="0" distB="0" distL="0" distR="0" wp14:anchorId="611BBDA3" wp14:editId="6B13FFFD">
                                <wp:extent cx="2100580" cy="381635"/>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00580" cy="38163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A7A9E8E" id="_x0000_t202" coordsize="21600,21600" o:spt="202" path="m,l,21600r21600,l21600,xe">
              <v:stroke joinstyle="miter"/>
              <v:path gradientshapeok="t" o:connecttype="rect"/>
            </v:shapetype>
            <v:shape id="Text Box 2" o:spid="_x0000_s1026" type="#_x0000_t202" style="position:absolute;margin-left:322.25pt;margin-top:-13.4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" strokecolor="white [3212]">
              <v:textbox style="mso-fit-shape-to-text:t">
                <w:txbxContent>
                  <w:p w14:paraId="0D8320EC" w14:textId="57F8AE4F" w:rsidR="00F56F80" w:rsidRDefault="00F56F80">
                    <w:r>
                      <w:rPr>
                        <w:noProof/>
                        <w:color w:val="000000"/>
                        <w:lang w:eastAsia="en-GB"/>
                        <w14:ligatures w14:val="none"/>
                      </w:rPr>
                      <w:drawing>
                        <wp:inline distT="0" distB="0" distL="0" distR="0" wp14:anchorId="611BBDA3" wp14:editId="6B13FFFD">
                          <wp:extent cx="2100580" cy="381635"/>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00580" cy="381635"/>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5900705A" wp14:editId="518165A8">
              <wp:simplePos x="0" y="0"/>
              <wp:positionH relativeFrom="margin">
                <wp:posOffset>-468638</wp:posOffset>
              </wp:positionH>
              <wp:positionV relativeFrom="paragraph">
                <wp:posOffset>-309161</wp:posOffset>
              </wp:positionV>
              <wp:extent cx="2360930" cy="1404620"/>
              <wp:effectExtent l="0" t="0" r="1270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060111AF" w14:textId="04931EB6" w:rsidR="00F56F80" w:rsidRDefault="00F56F80">
                          <w:r>
                            <w:rPr>
                              <w:noProof/>
                            </w:rPr>
                            <w:drawing>
                              <wp:inline distT="0" distB="0" distL="0" distR="0" wp14:anchorId="0E8BE396" wp14:editId="27A6B6CD">
                                <wp:extent cx="1733550" cy="5778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3"/>
                                        <a:stretch>
                                          <a:fillRect/>
                                        </a:stretch>
                                      </pic:blipFill>
                                      <pic:spPr>
                                        <a:xfrm>
                                          <a:off x="0" y="0"/>
                                          <a:ext cx="1733550" cy="5778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900705A" id="_x0000_s1027" type="#_x0000_t202" style="position:absolute;margin-left:-36.9pt;margin-top:-24.35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" strokecolor="white [3212]">
              <v:textbox style="mso-fit-shape-to-text:t">
                <w:txbxContent>
                  <w:p w14:paraId="060111AF" w14:textId="04931EB6" w:rsidR="00F56F80" w:rsidRDefault="00F56F80">
                    <w:r>
                      <w:rPr>
                        <w:noProof/>
                      </w:rPr>
                      <w:drawing>
                        <wp:inline distT="0" distB="0" distL="0" distR="0" wp14:anchorId="0E8BE396" wp14:editId="27A6B6CD">
                          <wp:extent cx="1733550" cy="5778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3"/>
                                  <a:stretch>
                                    <a:fillRect/>
                                  </a:stretch>
                                </pic:blipFill>
                                <pic:spPr>
                                  <a:xfrm>
                                    <a:off x="0" y="0"/>
                                    <a:ext cx="1733550" cy="577850"/>
                                  </a:xfrm>
                                  <a:prstGeom prst="rect">
                                    <a:avLst/>
                                  </a:prstGeom>
                                </pic:spPr>
                              </pic:pic>
                            </a:graphicData>
                          </a:graphic>
                        </wp:inline>
                      </w:drawing>
                    </w:r>
                  </w:p>
                </w:txbxContent>
              </v:textbox>
              <w10:wrap type="square" anchorx="margin"/>
            </v:shape>
          </w:pict>
        </mc:Fallback>
      </mc:AlternateConten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066E3"/>
    <w:multiLevelType w:val="hybridMultilevel"/>
    <w:tmpl w:val="C8306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0B0694E"/>
    <w:multiLevelType w:val="hybridMultilevel"/>
    <w:tmpl w:val="BA7255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CE5617E"/>
    <w:multiLevelType w:val="hybridMultilevel"/>
    <w:tmpl w:val="E4147E1E"/>
    <w:lvl w:ilvl="0" w:tplc="AFC48A4C">
      <w:start w:val="1"/>
      <w:numFmt w:val="bullet"/>
      <w:lvlText w:val="•"/>
      <w:lvlJc w:val="left"/>
      <w:pPr>
        <w:tabs>
          <w:tab w:val="num" w:pos="720"/>
        </w:tabs>
        <w:ind w:left="720" w:hanging="360"/>
      </w:pPr>
      <w:rPr>
        <w:rFonts w:ascii="Arial" w:hAnsi="Arial" w:hint="default"/>
      </w:rPr>
    </w:lvl>
    <w:lvl w:ilvl="1" w:tplc="0B32C98C">
      <w:numFmt w:val="bullet"/>
      <w:lvlText w:val="•"/>
      <w:lvlJc w:val="left"/>
      <w:pPr>
        <w:tabs>
          <w:tab w:val="num" w:pos="1440"/>
        </w:tabs>
        <w:ind w:left="1440" w:hanging="360"/>
      </w:pPr>
      <w:rPr>
        <w:rFonts w:ascii="Arial" w:hAnsi="Arial" w:hint="default"/>
      </w:rPr>
    </w:lvl>
    <w:lvl w:ilvl="2" w:tplc="AF92E0E0" w:tentative="1">
      <w:start w:val="1"/>
      <w:numFmt w:val="bullet"/>
      <w:lvlText w:val="•"/>
      <w:lvlJc w:val="left"/>
      <w:pPr>
        <w:tabs>
          <w:tab w:val="num" w:pos="2160"/>
        </w:tabs>
        <w:ind w:left="2160" w:hanging="360"/>
      </w:pPr>
      <w:rPr>
        <w:rFonts w:ascii="Arial" w:hAnsi="Arial" w:hint="default"/>
      </w:rPr>
    </w:lvl>
    <w:lvl w:ilvl="3" w:tplc="772405F0" w:tentative="1">
      <w:start w:val="1"/>
      <w:numFmt w:val="bullet"/>
      <w:lvlText w:val="•"/>
      <w:lvlJc w:val="left"/>
      <w:pPr>
        <w:tabs>
          <w:tab w:val="num" w:pos="2880"/>
        </w:tabs>
        <w:ind w:left="2880" w:hanging="360"/>
      </w:pPr>
      <w:rPr>
        <w:rFonts w:ascii="Arial" w:hAnsi="Arial" w:hint="default"/>
      </w:rPr>
    </w:lvl>
    <w:lvl w:ilvl="4" w:tplc="3CC6F6BC" w:tentative="1">
      <w:start w:val="1"/>
      <w:numFmt w:val="bullet"/>
      <w:lvlText w:val="•"/>
      <w:lvlJc w:val="left"/>
      <w:pPr>
        <w:tabs>
          <w:tab w:val="num" w:pos="3600"/>
        </w:tabs>
        <w:ind w:left="3600" w:hanging="360"/>
      </w:pPr>
      <w:rPr>
        <w:rFonts w:ascii="Arial" w:hAnsi="Arial" w:hint="default"/>
      </w:rPr>
    </w:lvl>
    <w:lvl w:ilvl="5" w:tplc="4DB0D4FE" w:tentative="1">
      <w:start w:val="1"/>
      <w:numFmt w:val="bullet"/>
      <w:lvlText w:val="•"/>
      <w:lvlJc w:val="left"/>
      <w:pPr>
        <w:tabs>
          <w:tab w:val="num" w:pos="4320"/>
        </w:tabs>
        <w:ind w:left="4320" w:hanging="360"/>
      </w:pPr>
      <w:rPr>
        <w:rFonts w:ascii="Arial" w:hAnsi="Arial" w:hint="default"/>
      </w:rPr>
    </w:lvl>
    <w:lvl w:ilvl="6" w:tplc="A3AEE368" w:tentative="1">
      <w:start w:val="1"/>
      <w:numFmt w:val="bullet"/>
      <w:lvlText w:val="•"/>
      <w:lvlJc w:val="left"/>
      <w:pPr>
        <w:tabs>
          <w:tab w:val="num" w:pos="5040"/>
        </w:tabs>
        <w:ind w:left="5040" w:hanging="360"/>
      </w:pPr>
      <w:rPr>
        <w:rFonts w:ascii="Arial" w:hAnsi="Arial" w:hint="default"/>
      </w:rPr>
    </w:lvl>
    <w:lvl w:ilvl="7" w:tplc="AEC0B152" w:tentative="1">
      <w:start w:val="1"/>
      <w:numFmt w:val="bullet"/>
      <w:lvlText w:val="•"/>
      <w:lvlJc w:val="left"/>
      <w:pPr>
        <w:tabs>
          <w:tab w:val="num" w:pos="5760"/>
        </w:tabs>
        <w:ind w:left="5760" w:hanging="360"/>
      </w:pPr>
      <w:rPr>
        <w:rFonts w:ascii="Arial" w:hAnsi="Arial" w:hint="default"/>
      </w:rPr>
    </w:lvl>
    <w:lvl w:ilvl="8" w:tplc="4412F06C" w:tentative="1">
      <w:start w:val="1"/>
      <w:numFmt w:val="bullet"/>
      <w:lvlText w:val="•"/>
      <w:lvlJc w:val="left"/>
      <w:pPr>
        <w:tabs>
          <w:tab w:val="num" w:pos="6480"/>
        </w:tabs>
        <w:ind w:left="6480" w:hanging="360"/>
      </w:pPr>
      <w:rPr>
        <w:rFonts w:ascii="Arial" w:hAnsi="Arial" w:hint="default"/>
      </w:rPr>
    </w:lvl>
  </w:abstractNum>
  <w:num w:numId="1" w16cid:durableId="1364744347">
    <w:abstractNumId w:val="2"/>
  </w:num>
  <w:num w:numId="2" w16cid:durableId="804203015">
    <w:abstractNumId w:val="0"/>
  </w:num>
  <w:num w:numId="3" w16cid:durableId="51664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670"/>
    <w:rsid w:val="00093249"/>
    <w:rsid w:val="001A6670"/>
    <w:rsid w:val="003275CA"/>
    <w:rsid w:val="003F0BBC"/>
    <w:rsid w:val="004A069E"/>
    <w:rsid w:val="004F0FF8"/>
    <w:rsid w:val="00540040"/>
    <w:rsid w:val="006030D2"/>
    <w:rsid w:val="006236D7"/>
    <w:rsid w:val="00676456"/>
    <w:rsid w:val="006841F8"/>
    <w:rsid w:val="007005A5"/>
    <w:rsid w:val="008875A5"/>
    <w:rsid w:val="008E627D"/>
    <w:rsid w:val="00AA61E3"/>
    <w:rsid w:val="00B3317E"/>
    <w:rsid w:val="00B918BB"/>
    <w:rsid w:val="00BA4925"/>
    <w:rsid w:val="00C65373"/>
    <w:rsid w:val="00C752BD"/>
    <w:rsid w:val="00D4486B"/>
    <w:rsid w:val="00E645DE"/>
    <w:rsid w:val="00F17EE3"/>
    <w:rsid w:val="00F510C3"/>
    <w:rsid w:val="00F56F80"/>
    <w:rsid w:val="00FB3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B8005E"/>
  <w15:chartTrackingRefBased/>
  <w15:docId w15:val="{36CBD727-CD62-442A-B412-4A84FB56B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670"/>
    <w:pPr>
      <w:spacing w:after="0" w:line="240" w:lineRule="auto"/>
    </w:pPr>
    <w:rPr>
      <w:rFonts w:ascii="Calibri" w:hAnsi="Calibri" w:cs="Calibri"/>
      <w:kern w:val="0"/>
    </w:rPr>
  </w:style>
  <w:style w:type="paragraph" w:styleId="Heading1">
    <w:name w:val="heading 1"/>
    <w:basedOn w:val="Normal"/>
    <w:next w:val="Normal"/>
    <w:link w:val="Heading1Char"/>
    <w:uiPriority w:val="9"/>
    <w:qFormat/>
    <w:rsid w:val="00C752B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52B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373"/>
    <w:pPr>
      <w:ind w:left="720"/>
      <w:contextualSpacing/>
    </w:pPr>
  </w:style>
  <w:style w:type="paragraph" w:styleId="Header">
    <w:name w:val="header"/>
    <w:basedOn w:val="Normal"/>
    <w:link w:val="HeaderChar"/>
    <w:uiPriority w:val="99"/>
    <w:unhideWhenUsed/>
    <w:rsid w:val="00C752BD"/>
    <w:pPr>
      <w:tabs>
        <w:tab w:val="center" w:pos="4513"/>
        <w:tab w:val="right" w:pos="9026"/>
      </w:tabs>
    </w:pPr>
  </w:style>
  <w:style w:type="character" w:customStyle="1" w:styleId="HeaderChar">
    <w:name w:val="Header Char"/>
    <w:basedOn w:val="DefaultParagraphFont"/>
    <w:link w:val="Header"/>
    <w:uiPriority w:val="99"/>
    <w:rsid w:val="00C752BD"/>
    <w:rPr>
      <w:rFonts w:ascii="Calibri" w:hAnsi="Calibri" w:cs="Calibri"/>
      <w:kern w:val="0"/>
    </w:rPr>
  </w:style>
  <w:style w:type="paragraph" w:styleId="Footer">
    <w:name w:val="footer"/>
    <w:basedOn w:val="Normal"/>
    <w:link w:val="FooterChar"/>
    <w:uiPriority w:val="99"/>
    <w:unhideWhenUsed/>
    <w:rsid w:val="00C752BD"/>
    <w:pPr>
      <w:tabs>
        <w:tab w:val="center" w:pos="4513"/>
        <w:tab w:val="right" w:pos="9026"/>
      </w:tabs>
    </w:pPr>
  </w:style>
  <w:style w:type="character" w:customStyle="1" w:styleId="FooterChar">
    <w:name w:val="Footer Char"/>
    <w:basedOn w:val="DefaultParagraphFont"/>
    <w:link w:val="Footer"/>
    <w:uiPriority w:val="99"/>
    <w:rsid w:val="00C752BD"/>
    <w:rPr>
      <w:rFonts w:ascii="Calibri" w:hAnsi="Calibri" w:cs="Calibri"/>
      <w:kern w:val="0"/>
    </w:rPr>
  </w:style>
  <w:style w:type="character" w:customStyle="1" w:styleId="Heading1Char">
    <w:name w:val="Heading 1 Char"/>
    <w:basedOn w:val="DefaultParagraphFont"/>
    <w:link w:val="Heading1"/>
    <w:uiPriority w:val="9"/>
    <w:rsid w:val="00C752BD"/>
    <w:rPr>
      <w:rFonts w:asciiTheme="majorHAnsi" w:eastAsiaTheme="majorEastAsia" w:hAnsiTheme="majorHAnsi" w:cstheme="majorBidi"/>
      <w:color w:val="2F5496" w:themeColor="accent1" w:themeShade="BF"/>
      <w:kern w:val="0"/>
      <w:sz w:val="32"/>
      <w:szCs w:val="32"/>
    </w:rPr>
  </w:style>
  <w:style w:type="character" w:customStyle="1" w:styleId="Heading2Char">
    <w:name w:val="Heading 2 Char"/>
    <w:basedOn w:val="DefaultParagraphFont"/>
    <w:link w:val="Heading2"/>
    <w:uiPriority w:val="9"/>
    <w:rsid w:val="00C752BD"/>
    <w:rPr>
      <w:rFonts w:asciiTheme="majorHAnsi" w:eastAsiaTheme="majorEastAsia" w:hAnsiTheme="majorHAnsi" w:cstheme="majorBidi"/>
      <w:color w:val="2F5496" w:themeColor="accent1" w:themeShade="BF"/>
      <w:kern w:val="0"/>
      <w:sz w:val="26"/>
      <w:szCs w:val="26"/>
    </w:rPr>
  </w:style>
  <w:style w:type="paragraph" w:styleId="NoSpacing">
    <w:name w:val="No Spacing"/>
    <w:uiPriority w:val="1"/>
    <w:qFormat/>
    <w:rsid w:val="00C752BD"/>
    <w:pPr>
      <w:spacing w:after="0" w:line="240" w:lineRule="auto"/>
    </w:pPr>
    <w:rPr>
      <w:rFonts w:ascii="Calibri" w:hAnsi="Calibri" w:cs="Calibri"/>
      <w:kern w:val="0"/>
    </w:rPr>
  </w:style>
  <w:style w:type="paragraph" w:styleId="Title">
    <w:name w:val="Title"/>
    <w:basedOn w:val="Normal"/>
    <w:next w:val="Normal"/>
    <w:link w:val="TitleChar"/>
    <w:uiPriority w:val="10"/>
    <w:qFormat/>
    <w:rsid w:val="00C752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52B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9868">
      <w:bodyDiv w:val="1"/>
      <w:marLeft w:val="0"/>
      <w:marRight w:val="0"/>
      <w:marTop w:val="0"/>
      <w:marBottom w:val="0"/>
      <w:divBdr>
        <w:top w:val="none" w:sz="0" w:space="0" w:color="auto"/>
        <w:left w:val="none" w:sz="0" w:space="0" w:color="auto"/>
        <w:bottom w:val="none" w:sz="0" w:space="0" w:color="auto"/>
        <w:right w:val="none" w:sz="0" w:space="0" w:color="auto"/>
      </w:divBdr>
    </w:div>
    <w:div w:id="178007536">
      <w:bodyDiv w:val="1"/>
      <w:marLeft w:val="0"/>
      <w:marRight w:val="0"/>
      <w:marTop w:val="0"/>
      <w:marBottom w:val="0"/>
      <w:divBdr>
        <w:top w:val="none" w:sz="0" w:space="0" w:color="auto"/>
        <w:left w:val="none" w:sz="0" w:space="0" w:color="auto"/>
        <w:bottom w:val="none" w:sz="0" w:space="0" w:color="auto"/>
        <w:right w:val="none" w:sz="0" w:space="0" w:color="auto"/>
      </w:divBdr>
    </w:div>
    <w:div w:id="178859659">
      <w:bodyDiv w:val="1"/>
      <w:marLeft w:val="0"/>
      <w:marRight w:val="0"/>
      <w:marTop w:val="0"/>
      <w:marBottom w:val="0"/>
      <w:divBdr>
        <w:top w:val="none" w:sz="0" w:space="0" w:color="auto"/>
        <w:left w:val="none" w:sz="0" w:space="0" w:color="auto"/>
        <w:bottom w:val="none" w:sz="0" w:space="0" w:color="auto"/>
        <w:right w:val="none" w:sz="0" w:space="0" w:color="auto"/>
      </w:divBdr>
    </w:div>
    <w:div w:id="288829180">
      <w:bodyDiv w:val="1"/>
      <w:marLeft w:val="0"/>
      <w:marRight w:val="0"/>
      <w:marTop w:val="0"/>
      <w:marBottom w:val="0"/>
      <w:divBdr>
        <w:top w:val="none" w:sz="0" w:space="0" w:color="auto"/>
        <w:left w:val="none" w:sz="0" w:space="0" w:color="auto"/>
        <w:bottom w:val="none" w:sz="0" w:space="0" w:color="auto"/>
        <w:right w:val="none" w:sz="0" w:space="0" w:color="auto"/>
      </w:divBdr>
    </w:div>
    <w:div w:id="406419983">
      <w:bodyDiv w:val="1"/>
      <w:marLeft w:val="0"/>
      <w:marRight w:val="0"/>
      <w:marTop w:val="0"/>
      <w:marBottom w:val="0"/>
      <w:divBdr>
        <w:top w:val="none" w:sz="0" w:space="0" w:color="auto"/>
        <w:left w:val="none" w:sz="0" w:space="0" w:color="auto"/>
        <w:bottom w:val="none" w:sz="0" w:space="0" w:color="auto"/>
        <w:right w:val="none" w:sz="0" w:space="0" w:color="auto"/>
      </w:divBdr>
    </w:div>
    <w:div w:id="480342242">
      <w:bodyDiv w:val="1"/>
      <w:marLeft w:val="0"/>
      <w:marRight w:val="0"/>
      <w:marTop w:val="0"/>
      <w:marBottom w:val="0"/>
      <w:divBdr>
        <w:top w:val="none" w:sz="0" w:space="0" w:color="auto"/>
        <w:left w:val="none" w:sz="0" w:space="0" w:color="auto"/>
        <w:bottom w:val="none" w:sz="0" w:space="0" w:color="auto"/>
        <w:right w:val="none" w:sz="0" w:space="0" w:color="auto"/>
      </w:divBdr>
    </w:div>
    <w:div w:id="607549308">
      <w:bodyDiv w:val="1"/>
      <w:marLeft w:val="0"/>
      <w:marRight w:val="0"/>
      <w:marTop w:val="0"/>
      <w:marBottom w:val="0"/>
      <w:divBdr>
        <w:top w:val="none" w:sz="0" w:space="0" w:color="auto"/>
        <w:left w:val="none" w:sz="0" w:space="0" w:color="auto"/>
        <w:bottom w:val="none" w:sz="0" w:space="0" w:color="auto"/>
        <w:right w:val="none" w:sz="0" w:space="0" w:color="auto"/>
      </w:divBdr>
    </w:div>
    <w:div w:id="618101421">
      <w:bodyDiv w:val="1"/>
      <w:marLeft w:val="0"/>
      <w:marRight w:val="0"/>
      <w:marTop w:val="0"/>
      <w:marBottom w:val="0"/>
      <w:divBdr>
        <w:top w:val="none" w:sz="0" w:space="0" w:color="auto"/>
        <w:left w:val="none" w:sz="0" w:space="0" w:color="auto"/>
        <w:bottom w:val="none" w:sz="0" w:space="0" w:color="auto"/>
        <w:right w:val="none" w:sz="0" w:space="0" w:color="auto"/>
      </w:divBdr>
    </w:div>
    <w:div w:id="733087886">
      <w:bodyDiv w:val="1"/>
      <w:marLeft w:val="0"/>
      <w:marRight w:val="0"/>
      <w:marTop w:val="0"/>
      <w:marBottom w:val="0"/>
      <w:divBdr>
        <w:top w:val="none" w:sz="0" w:space="0" w:color="auto"/>
        <w:left w:val="none" w:sz="0" w:space="0" w:color="auto"/>
        <w:bottom w:val="none" w:sz="0" w:space="0" w:color="auto"/>
        <w:right w:val="none" w:sz="0" w:space="0" w:color="auto"/>
      </w:divBdr>
    </w:div>
    <w:div w:id="808716403">
      <w:bodyDiv w:val="1"/>
      <w:marLeft w:val="0"/>
      <w:marRight w:val="0"/>
      <w:marTop w:val="0"/>
      <w:marBottom w:val="0"/>
      <w:divBdr>
        <w:top w:val="none" w:sz="0" w:space="0" w:color="auto"/>
        <w:left w:val="none" w:sz="0" w:space="0" w:color="auto"/>
        <w:bottom w:val="none" w:sz="0" w:space="0" w:color="auto"/>
        <w:right w:val="none" w:sz="0" w:space="0" w:color="auto"/>
      </w:divBdr>
    </w:div>
    <w:div w:id="836531165">
      <w:bodyDiv w:val="1"/>
      <w:marLeft w:val="0"/>
      <w:marRight w:val="0"/>
      <w:marTop w:val="0"/>
      <w:marBottom w:val="0"/>
      <w:divBdr>
        <w:top w:val="none" w:sz="0" w:space="0" w:color="auto"/>
        <w:left w:val="none" w:sz="0" w:space="0" w:color="auto"/>
        <w:bottom w:val="none" w:sz="0" w:space="0" w:color="auto"/>
        <w:right w:val="none" w:sz="0" w:space="0" w:color="auto"/>
      </w:divBdr>
    </w:div>
    <w:div w:id="925186496">
      <w:bodyDiv w:val="1"/>
      <w:marLeft w:val="0"/>
      <w:marRight w:val="0"/>
      <w:marTop w:val="0"/>
      <w:marBottom w:val="0"/>
      <w:divBdr>
        <w:top w:val="none" w:sz="0" w:space="0" w:color="auto"/>
        <w:left w:val="none" w:sz="0" w:space="0" w:color="auto"/>
        <w:bottom w:val="none" w:sz="0" w:space="0" w:color="auto"/>
        <w:right w:val="none" w:sz="0" w:space="0" w:color="auto"/>
      </w:divBdr>
    </w:div>
    <w:div w:id="1041520463">
      <w:bodyDiv w:val="1"/>
      <w:marLeft w:val="0"/>
      <w:marRight w:val="0"/>
      <w:marTop w:val="0"/>
      <w:marBottom w:val="0"/>
      <w:divBdr>
        <w:top w:val="none" w:sz="0" w:space="0" w:color="auto"/>
        <w:left w:val="none" w:sz="0" w:space="0" w:color="auto"/>
        <w:bottom w:val="none" w:sz="0" w:space="0" w:color="auto"/>
        <w:right w:val="none" w:sz="0" w:space="0" w:color="auto"/>
      </w:divBdr>
    </w:div>
    <w:div w:id="1085960482">
      <w:bodyDiv w:val="1"/>
      <w:marLeft w:val="0"/>
      <w:marRight w:val="0"/>
      <w:marTop w:val="0"/>
      <w:marBottom w:val="0"/>
      <w:divBdr>
        <w:top w:val="none" w:sz="0" w:space="0" w:color="auto"/>
        <w:left w:val="none" w:sz="0" w:space="0" w:color="auto"/>
        <w:bottom w:val="none" w:sz="0" w:space="0" w:color="auto"/>
        <w:right w:val="none" w:sz="0" w:space="0" w:color="auto"/>
      </w:divBdr>
    </w:div>
    <w:div w:id="1100563714">
      <w:bodyDiv w:val="1"/>
      <w:marLeft w:val="0"/>
      <w:marRight w:val="0"/>
      <w:marTop w:val="0"/>
      <w:marBottom w:val="0"/>
      <w:divBdr>
        <w:top w:val="none" w:sz="0" w:space="0" w:color="auto"/>
        <w:left w:val="none" w:sz="0" w:space="0" w:color="auto"/>
        <w:bottom w:val="none" w:sz="0" w:space="0" w:color="auto"/>
        <w:right w:val="none" w:sz="0" w:space="0" w:color="auto"/>
      </w:divBdr>
    </w:div>
    <w:div w:id="1128739990">
      <w:bodyDiv w:val="1"/>
      <w:marLeft w:val="0"/>
      <w:marRight w:val="0"/>
      <w:marTop w:val="0"/>
      <w:marBottom w:val="0"/>
      <w:divBdr>
        <w:top w:val="none" w:sz="0" w:space="0" w:color="auto"/>
        <w:left w:val="none" w:sz="0" w:space="0" w:color="auto"/>
        <w:bottom w:val="none" w:sz="0" w:space="0" w:color="auto"/>
        <w:right w:val="none" w:sz="0" w:space="0" w:color="auto"/>
      </w:divBdr>
      <w:divsChild>
        <w:div w:id="1261524923">
          <w:marLeft w:val="547"/>
          <w:marRight w:val="72"/>
          <w:marTop w:val="240"/>
          <w:marBottom w:val="120"/>
          <w:divBdr>
            <w:top w:val="none" w:sz="0" w:space="0" w:color="auto"/>
            <w:left w:val="none" w:sz="0" w:space="0" w:color="auto"/>
            <w:bottom w:val="none" w:sz="0" w:space="0" w:color="auto"/>
            <w:right w:val="none" w:sz="0" w:space="0" w:color="auto"/>
          </w:divBdr>
        </w:div>
        <w:div w:id="1048459883">
          <w:marLeft w:val="547"/>
          <w:marRight w:val="72"/>
          <w:marTop w:val="240"/>
          <w:marBottom w:val="120"/>
          <w:divBdr>
            <w:top w:val="none" w:sz="0" w:space="0" w:color="auto"/>
            <w:left w:val="none" w:sz="0" w:space="0" w:color="auto"/>
            <w:bottom w:val="none" w:sz="0" w:space="0" w:color="auto"/>
            <w:right w:val="none" w:sz="0" w:space="0" w:color="auto"/>
          </w:divBdr>
        </w:div>
        <w:div w:id="862131225">
          <w:marLeft w:val="547"/>
          <w:marRight w:val="72"/>
          <w:marTop w:val="240"/>
          <w:marBottom w:val="120"/>
          <w:divBdr>
            <w:top w:val="none" w:sz="0" w:space="0" w:color="auto"/>
            <w:left w:val="none" w:sz="0" w:space="0" w:color="auto"/>
            <w:bottom w:val="none" w:sz="0" w:space="0" w:color="auto"/>
            <w:right w:val="none" w:sz="0" w:space="0" w:color="auto"/>
          </w:divBdr>
        </w:div>
        <w:div w:id="723020043">
          <w:marLeft w:val="547"/>
          <w:marRight w:val="72"/>
          <w:marTop w:val="240"/>
          <w:marBottom w:val="120"/>
          <w:divBdr>
            <w:top w:val="none" w:sz="0" w:space="0" w:color="auto"/>
            <w:left w:val="none" w:sz="0" w:space="0" w:color="auto"/>
            <w:bottom w:val="none" w:sz="0" w:space="0" w:color="auto"/>
            <w:right w:val="none" w:sz="0" w:space="0" w:color="auto"/>
          </w:divBdr>
        </w:div>
        <w:div w:id="1946620523">
          <w:marLeft w:val="547"/>
          <w:marRight w:val="72"/>
          <w:marTop w:val="240"/>
          <w:marBottom w:val="120"/>
          <w:divBdr>
            <w:top w:val="none" w:sz="0" w:space="0" w:color="auto"/>
            <w:left w:val="none" w:sz="0" w:space="0" w:color="auto"/>
            <w:bottom w:val="none" w:sz="0" w:space="0" w:color="auto"/>
            <w:right w:val="none" w:sz="0" w:space="0" w:color="auto"/>
          </w:divBdr>
        </w:div>
        <w:div w:id="1650211717">
          <w:marLeft w:val="1267"/>
          <w:marRight w:val="72"/>
          <w:marTop w:val="240"/>
          <w:marBottom w:val="120"/>
          <w:divBdr>
            <w:top w:val="none" w:sz="0" w:space="0" w:color="auto"/>
            <w:left w:val="none" w:sz="0" w:space="0" w:color="auto"/>
            <w:bottom w:val="none" w:sz="0" w:space="0" w:color="auto"/>
            <w:right w:val="none" w:sz="0" w:space="0" w:color="auto"/>
          </w:divBdr>
        </w:div>
        <w:div w:id="363218002">
          <w:marLeft w:val="1267"/>
          <w:marRight w:val="72"/>
          <w:marTop w:val="240"/>
          <w:marBottom w:val="120"/>
          <w:divBdr>
            <w:top w:val="none" w:sz="0" w:space="0" w:color="auto"/>
            <w:left w:val="none" w:sz="0" w:space="0" w:color="auto"/>
            <w:bottom w:val="none" w:sz="0" w:space="0" w:color="auto"/>
            <w:right w:val="none" w:sz="0" w:space="0" w:color="auto"/>
          </w:divBdr>
        </w:div>
        <w:div w:id="1591888275">
          <w:marLeft w:val="1267"/>
          <w:marRight w:val="72"/>
          <w:marTop w:val="240"/>
          <w:marBottom w:val="120"/>
          <w:divBdr>
            <w:top w:val="none" w:sz="0" w:space="0" w:color="auto"/>
            <w:left w:val="none" w:sz="0" w:space="0" w:color="auto"/>
            <w:bottom w:val="none" w:sz="0" w:space="0" w:color="auto"/>
            <w:right w:val="none" w:sz="0" w:space="0" w:color="auto"/>
          </w:divBdr>
        </w:div>
        <w:div w:id="1254778442">
          <w:marLeft w:val="547"/>
          <w:marRight w:val="72"/>
          <w:marTop w:val="240"/>
          <w:marBottom w:val="120"/>
          <w:divBdr>
            <w:top w:val="none" w:sz="0" w:space="0" w:color="auto"/>
            <w:left w:val="none" w:sz="0" w:space="0" w:color="auto"/>
            <w:bottom w:val="none" w:sz="0" w:space="0" w:color="auto"/>
            <w:right w:val="none" w:sz="0" w:space="0" w:color="auto"/>
          </w:divBdr>
        </w:div>
      </w:divsChild>
    </w:div>
    <w:div w:id="1203981703">
      <w:bodyDiv w:val="1"/>
      <w:marLeft w:val="0"/>
      <w:marRight w:val="0"/>
      <w:marTop w:val="0"/>
      <w:marBottom w:val="0"/>
      <w:divBdr>
        <w:top w:val="none" w:sz="0" w:space="0" w:color="auto"/>
        <w:left w:val="none" w:sz="0" w:space="0" w:color="auto"/>
        <w:bottom w:val="none" w:sz="0" w:space="0" w:color="auto"/>
        <w:right w:val="none" w:sz="0" w:space="0" w:color="auto"/>
      </w:divBdr>
    </w:div>
    <w:div w:id="1219122586">
      <w:bodyDiv w:val="1"/>
      <w:marLeft w:val="0"/>
      <w:marRight w:val="0"/>
      <w:marTop w:val="0"/>
      <w:marBottom w:val="0"/>
      <w:divBdr>
        <w:top w:val="none" w:sz="0" w:space="0" w:color="auto"/>
        <w:left w:val="none" w:sz="0" w:space="0" w:color="auto"/>
        <w:bottom w:val="none" w:sz="0" w:space="0" w:color="auto"/>
        <w:right w:val="none" w:sz="0" w:space="0" w:color="auto"/>
      </w:divBdr>
    </w:div>
    <w:div w:id="1527906494">
      <w:bodyDiv w:val="1"/>
      <w:marLeft w:val="0"/>
      <w:marRight w:val="0"/>
      <w:marTop w:val="0"/>
      <w:marBottom w:val="0"/>
      <w:divBdr>
        <w:top w:val="none" w:sz="0" w:space="0" w:color="auto"/>
        <w:left w:val="none" w:sz="0" w:space="0" w:color="auto"/>
        <w:bottom w:val="none" w:sz="0" w:space="0" w:color="auto"/>
        <w:right w:val="none" w:sz="0" w:space="0" w:color="auto"/>
      </w:divBdr>
    </w:div>
    <w:div w:id="1600484619">
      <w:bodyDiv w:val="1"/>
      <w:marLeft w:val="0"/>
      <w:marRight w:val="0"/>
      <w:marTop w:val="0"/>
      <w:marBottom w:val="0"/>
      <w:divBdr>
        <w:top w:val="none" w:sz="0" w:space="0" w:color="auto"/>
        <w:left w:val="none" w:sz="0" w:space="0" w:color="auto"/>
        <w:bottom w:val="none" w:sz="0" w:space="0" w:color="auto"/>
        <w:right w:val="none" w:sz="0" w:space="0" w:color="auto"/>
      </w:divBdr>
    </w:div>
    <w:div w:id="1633244747">
      <w:bodyDiv w:val="1"/>
      <w:marLeft w:val="0"/>
      <w:marRight w:val="0"/>
      <w:marTop w:val="0"/>
      <w:marBottom w:val="0"/>
      <w:divBdr>
        <w:top w:val="none" w:sz="0" w:space="0" w:color="auto"/>
        <w:left w:val="none" w:sz="0" w:space="0" w:color="auto"/>
        <w:bottom w:val="none" w:sz="0" w:space="0" w:color="auto"/>
        <w:right w:val="none" w:sz="0" w:space="0" w:color="auto"/>
      </w:divBdr>
    </w:div>
    <w:div w:id="1728914459">
      <w:bodyDiv w:val="1"/>
      <w:marLeft w:val="0"/>
      <w:marRight w:val="0"/>
      <w:marTop w:val="0"/>
      <w:marBottom w:val="0"/>
      <w:divBdr>
        <w:top w:val="none" w:sz="0" w:space="0" w:color="auto"/>
        <w:left w:val="none" w:sz="0" w:space="0" w:color="auto"/>
        <w:bottom w:val="none" w:sz="0" w:space="0" w:color="auto"/>
        <w:right w:val="none" w:sz="0" w:space="0" w:color="auto"/>
      </w:divBdr>
    </w:div>
    <w:div w:id="1818721758">
      <w:bodyDiv w:val="1"/>
      <w:marLeft w:val="0"/>
      <w:marRight w:val="0"/>
      <w:marTop w:val="0"/>
      <w:marBottom w:val="0"/>
      <w:divBdr>
        <w:top w:val="none" w:sz="0" w:space="0" w:color="auto"/>
        <w:left w:val="none" w:sz="0" w:space="0" w:color="auto"/>
        <w:bottom w:val="none" w:sz="0" w:space="0" w:color="auto"/>
        <w:right w:val="none" w:sz="0" w:space="0" w:color="auto"/>
      </w:divBdr>
    </w:div>
    <w:div w:id="1834639976">
      <w:bodyDiv w:val="1"/>
      <w:marLeft w:val="0"/>
      <w:marRight w:val="0"/>
      <w:marTop w:val="0"/>
      <w:marBottom w:val="0"/>
      <w:divBdr>
        <w:top w:val="none" w:sz="0" w:space="0" w:color="auto"/>
        <w:left w:val="none" w:sz="0" w:space="0" w:color="auto"/>
        <w:bottom w:val="none" w:sz="0" w:space="0" w:color="auto"/>
        <w:right w:val="none" w:sz="0" w:space="0" w:color="auto"/>
      </w:divBdr>
    </w:div>
    <w:div w:id="1982539737">
      <w:bodyDiv w:val="1"/>
      <w:marLeft w:val="0"/>
      <w:marRight w:val="0"/>
      <w:marTop w:val="0"/>
      <w:marBottom w:val="0"/>
      <w:divBdr>
        <w:top w:val="none" w:sz="0" w:space="0" w:color="auto"/>
        <w:left w:val="none" w:sz="0" w:space="0" w:color="auto"/>
        <w:bottom w:val="none" w:sz="0" w:space="0" w:color="auto"/>
        <w:right w:val="none" w:sz="0" w:space="0" w:color="auto"/>
      </w:divBdr>
    </w:div>
    <w:div w:id="2040541976">
      <w:bodyDiv w:val="1"/>
      <w:marLeft w:val="0"/>
      <w:marRight w:val="0"/>
      <w:marTop w:val="0"/>
      <w:marBottom w:val="0"/>
      <w:divBdr>
        <w:top w:val="none" w:sz="0" w:space="0" w:color="auto"/>
        <w:left w:val="none" w:sz="0" w:space="0" w:color="auto"/>
        <w:bottom w:val="none" w:sz="0" w:space="0" w:color="auto"/>
        <w:right w:val="none" w:sz="0" w:space="0" w:color="auto"/>
      </w:divBdr>
    </w:div>
    <w:div w:id="205869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AB291.8D39D2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Worstead Sarah</dc:creator>
  <cp:keywords/>
  <dc:description/>
  <cp:lastModifiedBy>Keighley Louise</cp:lastModifiedBy>
  <cp:revision>4</cp:revision>
  <dcterms:created xsi:type="dcterms:W3CDTF">2024-05-30T12:25:00Z</dcterms:created>
  <dcterms:modified xsi:type="dcterms:W3CDTF">2024-06-03T08:50:00Z</dcterms:modified>
</cp:coreProperties>
</file>