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0FFB" w14:textId="1CF126A5" w:rsidR="00A13BC5" w:rsidRDefault="00F85B9B" w:rsidP="00F85B9B">
      <w:pPr>
        <w:jc w:val="center"/>
        <w:rPr>
          <w:b/>
          <w:bCs/>
          <w:sz w:val="28"/>
          <w:szCs w:val="28"/>
          <w:u w:val="single"/>
        </w:rPr>
      </w:pPr>
      <w:r w:rsidRPr="00F85B9B">
        <w:rPr>
          <w:b/>
          <w:bCs/>
          <w:sz w:val="28"/>
          <w:szCs w:val="28"/>
          <w:u w:val="single"/>
        </w:rPr>
        <w:t>P</w:t>
      </w:r>
      <w:r w:rsidRPr="00F85B9B">
        <w:rPr>
          <w:b/>
          <w:bCs/>
          <w:sz w:val="28"/>
          <w:szCs w:val="28"/>
          <w:u w:val="single"/>
        </w:rPr>
        <w:t>rovider Webinars: Immigration Rules Changes for Sponsoring Care Workers and Senior Care Workers</w:t>
      </w:r>
    </w:p>
    <w:p w14:paraId="5AD31D94" w14:textId="77777777" w:rsidR="00F85B9B" w:rsidRDefault="00F85B9B" w:rsidP="00F85B9B">
      <w:pPr>
        <w:rPr>
          <w:b/>
          <w:bCs/>
          <w:sz w:val="28"/>
          <w:szCs w:val="28"/>
          <w:u w:val="single"/>
        </w:rPr>
      </w:pPr>
    </w:p>
    <w:p w14:paraId="4EECE243" w14:textId="29144927" w:rsidR="00F85B9B" w:rsidRPr="00F85B9B" w:rsidRDefault="00F85B9B" w:rsidP="00F85B9B">
      <w:pPr>
        <w:rPr>
          <w:sz w:val="24"/>
          <w:szCs w:val="24"/>
        </w:rPr>
      </w:pPr>
      <w:r w:rsidRPr="00F85B9B">
        <w:rPr>
          <w:sz w:val="24"/>
          <w:szCs w:val="24"/>
        </w:rPr>
        <w:t>Hello,  </w:t>
      </w:r>
    </w:p>
    <w:p w14:paraId="4F6A8F86" w14:textId="6AFDE3AD" w:rsidR="00F85B9B" w:rsidRPr="00F85B9B" w:rsidRDefault="00F85B9B" w:rsidP="00F85B9B">
      <w:pPr>
        <w:rPr>
          <w:sz w:val="24"/>
          <w:szCs w:val="24"/>
        </w:rPr>
      </w:pPr>
      <w:r w:rsidRPr="00F85B9B">
        <w:rPr>
          <w:sz w:val="24"/>
          <w:szCs w:val="24"/>
        </w:rPr>
        <w:t>On 12</w:t>
      </w:r>
      <w:r w:rsidRPr="00F85B9B">
        <w:rPr>
          <w:sz w:val="24"/>
          <w:szCs w:val="24"/>
          <w:vertAlign w:val="superscript"/>
        </w:rPr>
        <w:t>th</w:t>
      </w:r>
      <w:r w:rsidRPr="00F85B9B">
        <w:rPr>
          <w:sz w:val="24"/>
          <w:szCs w:val="24"/>
        </w:rPr>
        <w:t xml:space="preserve"> May 2025, the Home Office published the Immigration White Paper: </w:t>
      </w:r>
      <w:hyperlink r:id="rId5" w:tgtFrame="_blank" w:history="1">
        <w:r w:rsidRPr="00F85B9B">
          <w:rPr>
            <w:rStyle w:val="Hyperlink"/>
            <w:sz w:val="24"/>
            <w:szCs w:val="24"/>
            <w:u w:val="none"/>
          </w:rPr>
          <w:t>Restoring control over the immigration system white paper</w:t>
        </w:r>
      </w:hyperlink>
      <w:r w:rsidRPr="00F85B9B">
        <w:rPr>
          <w:sz w:val="24"/>
          <w:szCs w:val="24"/>
        </w:rPr>
        <w:t xml:space="preserve"> set out that overseas recruitment into adult social care will end. This change to the immigration rules has been laid in Parliament on 1</w:t>
      </w:r>
      <w:r w:rsidRPr="00F85B9B">
        <w:rPr>
          <w:sz w:val="24"/>
          <w:szCs w:val="24"/>
          <w:vertAlign w:val="superscript"/>
        </w:rPr>
        <w:t>st</w:t>
      </w:r>
      <w:r w:rsidRPr="00F85B9B">
        <w:rPr>
          <w:sz w:val="24"/>
          <w:szCs w:val="24"/>
        </w:rPr>
        <w:t xml:space="preserve"> July as part of a wider package of measures: </w:t>
      </w:r>
      <w:hyperlink r:id="rId6" w:tgtFrame="_blank" w:history="1">
        <w:r w:rsidRPr="00F85B9B">
          <w:rPr>
            <w:rStyle w:val="Hyperlink"/>
            <w:sz w:val="24"/>
            <w:szCs w:val="24"/>
            <w:u w:val="none"/>
          </w:rPr>
          <w:t>Major immigration reforms delivered to restore order and control - GOV.UK.</w:t>
        </w:r>
      </w:hyperlink>
      <w:r w:rsidRPr="00F85B9B">
        <w:rPr>
          <w:sz w:val="24"/>
          <w:szCs w:val="24"/>
        </w:rPr>
        <w:t xml:space="preserve"> Subject to Parliamentary approval the </w:t>
      </w:r>
      <w:r w:rsidRPr="00F85B9B">
        <w:rPr>
          <w:b/>
          <w:bCs/>
          <w:sz w:val="24"/>
          <w:szCs w:val="24"/>
        </w:rPr>
        <w:t>new rules will come into effect on</w:t>
      </w:r>
      <w:r w:rsidRPr="00F85B9B">
        <w:rPr>
          <w:sz w:val="24"/>
          <w:szCs w:val="24"/>
        </w:rPr>
        <w:t xml:space="preserve"> </w:t>
      </w:r>
      <w:r w:rsidRPr="00F85B9B">
        <w:rPr>
          <w:b/>
          <w:bCs/>
          <w:sz w:val="24"/>
          <w:szCs w:val="24"/>
        </w:rPr>
        <w:t>22</w:t>
      </w:r>
      <w:r w:rsidRPr="00F85B9B">
        <w:rPr>
          <w:b/>
          <w:bCs/>
          <w:sz w:val="24"/>
          <w:szCs w:val="24"/>
          <w:vertAlign w:val="superscript"/>
        </w:rPr>
        <w:t>nd</w:t>
      </w:r>
      <w:r w:rsidRPr="00F85B9B">
        <w:rPr>
          <w:b/>
          <w:bCs/>
          <w:sz w:val="24"/>
          <w:szCs w:val="24"/>
        </w:rPr>
        <w:t xml:space="preserve"> July 2025.</w:t>
      </w:r>
      <w:r w:rsidRPr="00F85B9B">
        <w:rPr>
          <w:sz w:val="24"/>
          <w:szCs w:val="24"/>
        </w:rPr>
        <w:t>  </w:t>
      </w:r>
    </w:p>
    <w:p w14:paraId="1007843C" w14:textId="20273526" w:rsidR="00F85B9B" w:rsidRPr="00F85B9B" w:rsidRDefault="00F85B9B" w:rsidP="00F85B9B">
      <w:pPr>
        <w:rPr>
          <w:sz w:val="24"/>
          <w:szCs w:val="24"/>
        </w:rPr>
      </w:pPr>
      <w:r w:rsidRPr="00F85B9B">
        <w:rPr>
          <w:sz w:val="24"/>
          <w:szCs w:val="24"/>
        </w:rPr>
        <w:t>As outlined in the Immigration White Paper, for adult social care there will be a transition period until 2028, where in-country switching for those already in the UK will continue to be permitted. This switching will cover: </w:t>
      </w:r>
    </w:p>
    <w:p w14:paraId="0B68A56D" w14:textId="77777777" w:rsidR="00F85B9B" w:rsidRPr="00F85B9B" w:rsidRDefault="00F85B9B" w:rsidP="00F85B9B">
      <w:pPr>
        <w:numPr>
          <w:ilvl w:val="0"/>
          <w:numId w:val="1"/>
        </w:numPr>
        <w:rPr>
          <w:sz w:val="24"/>
          <w:szCs w:val="24"/>
        </w:rPr>
      </w:pPr>
      <w:r w:rsidRPr="00F85B9B">
        <w:rPr>
          <w:sz w:val="24"/>
          <w:szCs w:val="24"/>
        </w:rPr>
        <w:t>Health &amp; Care visa holders whose most recent sponsorship was under SOC 6145 (6135 since April 2024) Care workers and home carers’ or 6146 (6136 since April 2024) ‘senior care workers’; and </w:t>
      </w:r>
    </w:p>
    <w:p w14:paraId="16C9D29E" w14:textId="52CD32D7" w:rsidR="00F85B9B" w:rsidRPr="00F85B9B" w:rsidRDefault="00930B8D" w:rsidP="00F85B9B">
      <w:pPr>
        <w:numPr>
          <w:ilvl w:val="0"/>
          <w:numId w:val="2"/>
        </w:numPr>
        <w:rPr>
          <w:b/>
          <w:bCs/>
          <w:sz w:val="24"/>
          <w:szCs w:val="24"/>
        </w:rPr>
      </w:pPr>
      <w:r w:rsidRPr="00930B8D">
        <w:rPr>
          <w:sz w:val="24"/>
          <w:szCs w:val="24"/>
        </w:rPr>
        <w:t>I</w:t>
      </w:r>
      <w:r w:rsidR="00F85B9B" w:rsidRPr="00F85B9B">
        <w:rPr>
          <w:sz w:val="24"/>
          <w:szCs w:val="24"/>
        </w:rPr>
        <w:t>ndividuals switching from other visa routes who have been legally working for the sponsor as a care worker or senior care worker for at least three months at the date of the application. This means that, for example, a student who is working in the social care sector part-time, could apply to continue working in the sector on a skilled worker visa during this transitional period. They must have been working in the sector for at least 3 months prior to their application.</w:t>
      </w:r>
      <w:r w:rsidR="00F85B9B" w:rsidRPr="00F85B9B">
        <w:rPr>
          <w:rFonts w:ascii="Arial" w:hAnsi="Arial" w:cs="Arial"/>
          <w:sz w:val="24"/>
          <w:szCs w:val="24"/>
        </w:rPr>
        <w:t> </w:t>
      </w:r>
      <w:r w:rsidR="00F85B9B" w:rsidRPr="00F85B9B">
        <w:rPr>
          <w:sz w:val="24"/>
          <w:szCs w:val="24"/>
        </w:rPr>
        <w:t xml:space="preserve"> </w:t>
      </w:r>
      <w:r w:rsidR="00F85B9B" w:rsidRPr="00F85B9B">
        <w:rPr>
          <w:b/>
          <w:bCs/>
          <w:sz w:val="24"/>
          <w:szCs w:val="24"/>
        </w:rPr>
        <w:t>Further details will be set out in the sponsor guidance.</w:t>
      </w:r>
      <w:r w:rsidR="00F85B9B" w:rsidRPr="00F85B9B">
        <w:rPr>
          <w:rFonts w:ascii="Arial" w:hAnsi="Arial" w:cs="Arial"/>
          <w:b/>
          <w:bCs/>
          <w:sz w:val="24"/>
          <w:szCs w:val="24"/>
        </w:rPr>
        <w:t> </w:t>
      </w:r>
      <w:r w:rsidR="00F85B9B" w:rsidRPr="00F85B9B">
        <w:rPr>
          <w:b/>
          <w:bCs/>
          <w:sz w:val="24"/>
          <w:szCs w:val="24"/>
        </w:rPr>
        <w:t> </w:t>
      </w:r>
    </w:p>
    <w:p w14:paraId="74441595" w14:textId="03A3002C" w:rsidR="00F85B9B" w:rsidRPr="00F85B9B" w:rsidRDefault="00F85B9B" w:rsidP="00F85B9B">
      <w:pPr>
        <w:rPr>
          <w:sz w:val="24"/>
          <w:szCs w:val="24"/>
        </w:rPr>
      </w:pPr>
      <w:r w:rsidRPr="00F85B9B">
        <w:rPr>
          <w:sz w:val="24"/>
          <w:szCs w:val="24"/>
        </w:rPr>
        <w:t>The rules set out that the transition period will end automatically on 22nd July 2028, but in line with the White Paper, the transition period will be kept under review.  </w:t>
      </w:r>
    </w:p>
    <w:p w14:paraId="6ADB8C63" w14:textId="2C42BD60" w:rsidR="00F85B9B" w:rsidRPr="00F85B9B" w:rsidRDefault="00F85B9B" w:rsidP="00F85B9B">
      <w:pPr>
        <w:rPr>
          <w:sz w:val="24"/>
          <w:szCs w:val="24"/>
        </w:rPr>
      </w:pPr>
      <w:r w:rsidRPr="00F85B9B">
        <w:rPr>
          <w:sz w:val="24"/>
          <w:szCs w:val="24"/>
        </w:rPr>
        <w:t>International workers sponsored to work legally in the sector by the end of the transition period will be able to extend their stay, change sponsors, and apply to settle, subject to settlement rules in place at the time. The Government will consult on changes to settlement rules later this year. </w:t>
      </w:r>
    </w:p>
    <w:p w14:paraId="066070FE" w14:textId="7E85F353" w:rsidR="00F85B9B" w:rsidRPr="00F85B9B" w:rsidRDefault="00F85B9B" w:rsidP="00F85B9B">
      <w:pPr>
        <w:rPr>
          <w:sz w:val="24"/>
          <w:szCs w:val="24"/>
        </w:rPr>
      </w:pPr>
      <w:r w:rsidRPr="00F85B9B">
        <w:rPr>
          <w:sz w:val="24"/>
          <w:szCs w:val="24"/>
        </w:rPr>
        <w:t>The Home Office is hosting three webinars to provide further information on these changes and what they mean for ASC providers and existing sponsored care workers.  </w:t>
      </w:r>
    </w:p>
    <w:p w14:paraId="4AF9F2A7" w14:textId="0AB41E40" w:rsidR="00F85B9B" w:rsidRPr="00F85B9B" w:rsidRDefault="00F85B9B" w:rsidP="00F85B9B">
      <w:pPr>
        <w:rPr>
          <w:sz w:val="24"/>
          <w:szCs w:val="24"/>
        </w:rPr>
      </w:pPr>
      <w:r w:rsidRPr="00F85B9B">
        <w:rPr>
          <w:sz w:val="24"/>
          <w:szCs w:val="24"/>
        </w:rPr>
        <w:t>Please use the links below to register for a session:  </w:t>
      </w:r>
    </w:p>
    <w:p w14:paraId="71DED2AC" w14:textId="77777777" w:rsidR="00F85B9B" w:rsidRPr="00F85B9B" w:rsidRDefault="00F85B9B" w:rsidP="00F85B9B">
      <w:pPr>
        <w:rPr>
          <w:b/>
          <w:bCs/>
          <w:sz w:val="24"/>
          <w:szCs w:val="24"/>
        </w:rPr>
      </w:pPr>
      <w:r w:rsidRPr="00F85B9B">
        <w:rPr>
          <w:b/>
          <w:bCs/>
          <w:sz w:val="24"/>
          <w:szCs w:val="24"/>
        </w:rPr>
        <w:t>Thu 10/07/2025 10:00 - 10:30</w:t>
      </w:r>
    </w:p>
    <w:p w14:paraId="4E3C9D1A" w14:textId="06B4EB64" w:rsidR="00F85B9B" w:rsidRPr="00F85B9B" w:rsidRDefault="00F85B9B" w:rsidP="00F85B9B">
      <w:pPr>
        <w:rPr>
          <w:sz w:val="24"/>
          <w:szCs w:val="24"/>
        </w:rPr>
      </w:pPr>
      <w:hyperlink r:id="rId7" w:history="1">
        <w:r w:rsidRPr="00F85B9B">
          <w:rPr>
            <w:rStyle w:val="Hyperlink"/>
            <w:sz w:val="24"/>
            <w:szCs w:val="24"/>
            <w:u w:val="none"/>
          </w:rPr>
          <w:t>https://events.teams.microsoft.com/event/05ea02c0-e18a-4539-9120-d719264e8f15@f24d93ec-b291-4192-a08a-f182245945c2</w:t>
        </w:r>
      </w:hyperlink>
    </w:p>
    <w:p w14:paraId="0663C61E" w14:textId="77777777" w:rsidR="00F85B9B" w:rsidRPr="00F85B9B" w:rsidRDefault="00F85B9B" w:rsidP="00F85B9B">
      <w:pPr>
        <w:rPr>
          <w:b/>
          <w:bCs/>
          <w:sz w:val="24"/>
          <w:szCs w:val="24"/>
        </w:rPr>
      </w:pPr>
      <w:r w:rsidRPr="00F85B9B">
        <w:rPr>
          <w:b/>
          <w:bCs/>
          <w:sz w:val="24"/>
          <w:szCs w:val="24"/>
        </w:rPr>
        <w:t>Thu 10/07/2025 15:00 - 15:30 </w:t>
      </w:r>
    </w:p>
    <w:p w14:paraId="6287B45C" w14:textId="39CB7180" w:rsidR="00F85B9B" w:rsidRPr="00F85B9B" w:rsidRDefault="00F85B9B" w:rsidP="00F85B9B">
      <w:pPr>
        <w:rPr>
          <w:sz w:val="24"/>
          <w:szCs w:val="24"/>
        </w:rPr>
      </w:pPr>
      <w:hyperlink r:id="rId8" w:history="1">
        <w:r w:rsidRPr="00F85B9B">
          <w:rPr>
            <w:rStyle w:val="Hyperlink"/>
            <w:sz w:val="24"/>
            <w:szCs w:val="24"/>
            <w:u w:val="none"/>
          </w:rPr>
          <w:t>https://events.teams.microsoft.com/event/a81b17a4-b806-47e1-a7a2-9a081e2306ed@f24d93ec-b291-4192-a08a-f182245945c2</w:t>
        </w:r>
      </w:hyperlink>
    </w:p>
    <w:p w14:paraId="0B1F1726" w14:textId="77777777" w:rsidR="00F85B9B" w:rsidRPr="00F85B9B" w:rsidRDefault="00F85B9B" w:rsidP="00F85B9B">
      <w:pPr>
        <w:rPr>
          <w:b/>
          <w:bCs/>
          <w:sz w:val="24"/>
          <w:szCs w:val="24"/>
        </w:rPr>
      </w:pPr>
      <w:r w:rsidRPr="00F85B9B">
        <w:rPr>
          <w:b/>
          <w:bCs/>
          <w:sz w:val="24"/>
          <w:szCs w:val="24"/>
        </w:rPr>
        <w:t>Tue, 15/07/2025 14:00 - 14:30 </w:t>
      </w:r>
    </w:p>
    <w:p w14:paraId="05DA684E" w14:textId="19C4D464" w:rsidR="00F85B9B" w:rsidRPr="00F85B9B" w:rsidRDefault="00F85B9B" w:rsidP="00F85B9B">
      <w:pPr>
        <w:rPr>
          <w:sz w:val="24"/>
          <w:szCs w:val="24"/>
        </w:rPr>
      </w:pPr>
      <w:hyperlink r:id="rId9" w:history="1">
        <w:r w:rsidRPr="00F85B9B">
          <w:rPr>
            <w:rStyle w:val="Hyperlink"/>
            <w:sz w:val="24"/>
            <w:szCs w:val="24"/>
            <w:u w:val="none"/>
          </w:rPr>
          <w:t>https://events.teams.microsoft.com/event/c4342085-9276-4cb9-9fb4-2639f51ce71e@f24d93ec-b291-4192-a08a-f182245945c2</w:t>
        </w:r>
      </w:hyperlink>
    </w:p>
    <w:p w14:paraId="7FA78B9F" w14:textId="4815E30C" w:rsidR="00F85B9B" w:rsidRPr="00F85B9B" w:rsidRDefault="00F85B9B" w:rsidP="00F85B9B">
      <w:pPr>
        <w:rPr>
          <w:b/>
          <w:bCs/>
          <w:sz w:val="24"/>
          <w:szCs w:val="24"/>
        </w:rPr>
      </w:pPr>
      <w:r w:rsidRPr="00F85B9B">
        <w:rPr>
          <w:b/>
          <w:bCs/>
          <w:sz w:val="24"/>
          <w:szCs w:val="24"/>
        </w:rPr>
        <w:t>Please note the maximum capacity is 1000 attendees per session. Please only register for one session. Where possible, please limit registration to one person per organisation. If you are unable to attend a session you have registered for, please cancel your registration.  Once a session is full, attendees can join the waitlist. You will be contacted via email if space becomes available.  </w:t>
      </w:r>
    </w:p>
    <w:p w14:paraId="0EBF4EB0" w14:textId="4A82ADDA" w:rsidR="00F85B9B" w:rsidRDefault="00F85B9B" w:rsidP="00F85B9B">
      <w:pPr>
        <w:rPr>
          <w:sz w:val="24"/>
          <w:szCs w:val="24"/>
        </w:rPr>
      </w:pPr>
      <w:r w:rsidRPr="00F85B9B">
        <w:rPr>
          <w:sz w:val="24"/>
          <w:szCs w:val="24"/>
        </w:rPr>
        <w:t>These sessions will not be recorded, however we will share a FAQ document.</w:t>
      </w:r>
    </w:p>
    <w:p w14:paraId="5C3A6657" w14:textId="77777777" w:rsidR="00F85B9B" w:rsidRPr="00F85B9B" w:rsidRDefault="00F85B9B" w:rsidP="00F85B9B">
      <w:pPr>
        <w:rPr>
          <w:sz w:val="24"/>
          <w:szCs w:val="24"/>
        </w:rPr>
      </w:pPr>
      <w:r w:rsidRPr="00F85B9B">
        <w:rPr>
          <w:sz w:val="24"/>
          <w:szCs w:val="24"/>
        </w:rPr>
        <w:t xml:space="preserve">Thank you, </w:t>
      </w:r>
    </w:p>
    <w:p w14:paraId="6E539D95" w14:textId="19263D2C" w:rsidR="00F85B9B" w:rsidRPr="00F85B9B" w:rsidRDefault="00F85B9B" w:rsidP="00F85B9B">
      <w:pPr>
        <w:rPr>
          <w:b/>
          <w:bCs/>
          <w:sz w:val="28"/>
          <w:szCs w:val="28"/>
          <w:u w:val="single"/>
        </w:rPr>
      </w:pPr>
    </w:p>
    <w:tbl>
      <w:tblPr>
        <w:tblW w:w="0" w:type="auto"/>
        <w:tblCellMar>
          <w:left w:w="0" w:type="dxa"/>
          <w:right w:w="0" w:type="dxa"/>
        </w:tblCellMar>
        <w:tblLook w:val="04A0" w:firstRow="1" w:lastRow="0" w:firstColumn="1" w:lastColumn="0" w:noHBand="0" w:noVBand="1"/>
      </w:tblPr>
      <w:tblGrid>
        <w:gridCol w:w="3146"/>
        <w:gridCol w:w="5880"/>
      </w:tblGrid>
      <w:tr w:rsidR="00F85B9B" w:rsidRPr="00F85B9B" w14:paraId="3373A438" w14:textId="77777777" w:rsidTr="0023120A">
        <w:trPr>
          <w:trHeight w:val="1103"/>
        </w:trPr>
        <w:tc>
          <w:tcPr>
            <w:tcW w:w="3146" w:type="dxa"/>
            <w:tcMar>
              <w:top w:w="0" w:type="dxa"/>
              <w:left w:w="28" w:type="dxa"/>
              <w:bottom w:w="0" w:type="dxa"/>
              <w:right w:w="28" w:type="dxa"/>
            </w:tcMar>
            <w:hideMark/>
          </w:tcPr>
          <w:p w14:paraId="18D1425C" w14:textId="7A1001DD" w:rsidR="00F85B9B" w:rsidRPr="00F85B9B" w:rsidRDefault="00F85B9B" w:rsidP="00F85B9B">
            <w:pPr>
              <w:rPr>
                <w:b/>
                <w:bCs/>
                <w:sz w:val="28"/>
                <w:szCs w:val="28"/>
                <w:u w:val="single"/>
              </w:rPr>
            </w:pPr>
            <w:r w:rsidRPr="00F85B9B">
              <w:rPr>
                <w:b/>
                <w:bCs/>
                <w:sz w:val="28"/>
                <w:szCs w:val="28"/>
                <w:u w:val="single"/>
              </w:rPr>
              <w:drawing>
                <wp:inline distT="0" distB="0" distL="0" distR="0" wp14:anchorId="5E9AF090" wp14:editId="5C74E9EE">
                  <wp:extent cx="1959062" cy="1729740"/>
                  <wp:effectExtent l="0" t="0" r="3175" b="3810"/>
                  <wp:docPr id="468057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74072" cy="1742993"/>
                          </a:xfrm>
                          <a:prstGeom prst="rect">
                            <a:avLst/>
                          </a:prstGeom>
                          <a:noFill/>
                          <a:ln>
                            <a:noFill/>
                          </a:ln>
                        </pic:spPr>
                      </pic:pic>
                    </a:graphicData>
                  </a:graphic>
                </wp:inline>
              </w:drawing>
            </w:r>
          </w:p>
        </w:tc>
        <w:tc>
          <w:tcPr>
            <w:tcW w:w="5880" w:type="dxa"/>
            <w:tcMar>
              <w:top w:w="0" w:type="dxa"/>
              <w:left w:w="28" w:type="dxa"/>
              <w:bottom w:w="0" w:type="dxa"/>
              <w:right w:w="28" w:type="dxa"/>
            </w:tcMar>
            <w:hideMark/>
          </w:tcPr>
          <w:p w14:paraId="2EEB862F" w14:textId="77777777" w:rsidR="00F85B9B" w:rsidRPr="00F85B9B" w:rsidRDefault="00F85B9B" w:rsidP="00F85B9B">
            <w:pPr>
              <w:rPr>
                <w:b/>
                <w:bCs/>
                <w:sz w:val="28"/>
                <w:szCs w:val="28"/>
                <w:u w:val="single"/>
              </w:rPr>
            </w:pPr>
            <w:r w:rsidRPr="00F85B9B">
              <w:rPr>
                <w:b/>
                <w:bCs/>
                <w:sz w:val="28"/>
                <w:szCs w:val="28"/>
                <w:u w:val="single"/>
              </w:rPr>
              <w:t>A</w:t>
            </w:r>
            <w:r w:rsidRPr="00F85B9B">
              <w:rPr>
                <w:b/>
                <w:bCs/>
                <w:sz w:val="28"/>
                <w:szCs w:val="28"/>
                <w:u w:val="single"/>
                <w:lang w:val="en-US"/>
              </w:rPr>
              <w:t>dult Social Care International Recruitment Team</w:t>
            </w:r>
          </w:p>
          <w:p w14:paraId="1C878CD9" w14:textId="77777777" w:rsidR="00F85B9B" w:rsidRPr="00F85B9B" w:rsidRDefault="00F85B9B" w:rsidP="00F85B9B">
            <w:pPr>
              <w:rPr>
                <w:sz w:val="28"/>
                <w:szCs w:val="28"/>
              </w:rPr>
            </w:pPr>
            <w:r w:rsidRPr="00F85B9B">
              <w:rPr>
                <w:sz w:val="28"/>
                <w:szCs w:val="28"/>
                <w:lang w:val="en-US"/>
              </w:rPr>
              <w:t>Department of Health and Social Care</w:t>
            </w:r>
          </w:p>
          <w:p w14:paraId="17331728" w14:textId="77777777" w:rsidR="00F85B9B" w:rsidRPr="00F85B9B" w:rsidRDefault="00F85B9B" w:rsidP="00F85B9B">
            <w:pPr>
              <w:rPr>
                <w:sz w:val="28"/>
                <w:szCs w:val="28"/>
              </w:rPr>
            </w:pPr>
            <w:r w:rsidRPr="00F85B9B">
              <w:rPr>
                <w:sz w:val="28"/>
                <w:szCs w:val="28"/>
                <w:lang w:val="en-US"/>
              </w:rPr>
              <w:t>39 Victoria Street, London, SW1H 0EU</w:t>
            </w:r>
          </w:p>
          <w:p w14:paraId="207B40DA" w14:textId="3BA372B0" w:rsidR="00F85B9B" w:rsidRPr="00F85B9B" w:rsidRDefault="00F85B9B" w:rsidP="00F85B9B">
            <w:pPr>
              <w:rPr>
                <w:b/>
                <w:bCs/>
                <w:sz w:val="28"/>
                <w:szCs w:val="28"/>
                <w:u w:val="single"/>
              </w:rPr>
            </w:pPr>
            <w:r w:rsidRPr="00F85B9B">
              <w:rPr>
                <w:b/>
                <w:bCs/>
                <w:sz w:val="28"/>
                <w:szCs w:val="28"/>
                <w:u w:val="single"/>
                <w:lang w:val="en-US"/>
              </w:rPr>
              <w:t xml:space="preserve">E: </w:t>
            </w:r>
            <w:hyperlink r:id="rId12" w:history="1">
              <w:r w:rsidRPr="00F85B9B">
                <w:rPr>
                  <w:rStyle w:val="Hyperlink"/>
                  <w:b/>
                  <w:bCs/>
                  <w:sz w:val="28"/>
                  <w:szCs w:val="28"/>
                </w:rPr>
                <w:t>ASCInternationalRecruitment@dhsc.gov.uk</w:t>
              </w:r>
            </w:hyperlink>
          </w:p>
        </w:tc>
      </w:tr>
    </w:tbl>
    <w:p w14:paraId="6B78F655" w14:textId="21F2F44D" w:rsidR="00D63445" w:rsidRDefault="00D63445" w:rsidP="0023120A">
      <w:pPr>
        <w:rPr>
          <w:b/>
          <w:bCs/>
          <w:i/>
          <w:iCs/>
          <w:sz w:val="24"/>
          <w:szCs w:val="24"/>
        </w:rPr>
      </w:pPr>
      <w:r>
        <w:rPr>
          <w:b/>
          <w:bCs/>
          <w:i/>
          <w:iCs/>
          <w:sz w:val="24"/>
          <w:szCs w:val="24"/>
        </w:rPr>
        <w:t>NOTE:</w:t>
      </w:r>
    </w:p>
    <w:p w14:paraId="717137E8" w14:textId="4C8D801F" w:rsidR="0023120A" w:rsidRPr="00930B8D" w:rsidRDefault="0023120A" w:rsidP="0023120A">
      <w:pPr>
        <w:rPr>
          <w:b/>
          <w:bCs/>
          <w:i/>
          <w:iCs/>
          <w:sz w:val="24"/>
          <w:szCs w:val="24"/>
        </w:rPr>
      </w:pPr>
      <w:r w:rsidRPr="00930B8D">
        <w:rPr>
          <w:b/>
          <w:bCs/>
          <w:i/>
          <w:iCs/>
          <w:sz w:val="24"/>
          <w:szCs w:val="24"/>
        </w:rPr>
        <w:t>West Yorkshire International Recruitment Webinar</w:t>
      </w:r>
    </w:p>
    <w:p w14:paraId="1F7AB884" w14:textId="77777777" w:rsidR="0023120A" w:rsidRPr="00F85B9B" w:rsidRDefault="0023120A" w:rsidP="0023120A">
      <w:pPr>
        <w:rPr>
          <w:i/>
          <w:iCs/>
          <w:sz w:val="24"/>
          <w:szCs w:val="24"/>
        </w:rPr>
      </w:pPr>
      <w:r w:rsidRPr="00930B8D">
        <w:rPr>
          <w:i/>
          <w:iCs/>
          <w:sz w:val="24"/>
          <w:szCs w:val="24"/>
        </w:rPr>
        <w:t xml:space="preserve">**Please email </w:t>
      </w:r>
      <w:r w:rsidRPr="00930B8D">
        <w:rPr>
          <w:b/>
          <w:bCs/>
          <w:i/>
          <w:iCs/>
          <w:sz w:val="24"/>
          <w:szCs w:val="24"/>
        </w:rPr>
        <w:t>BCA</w:t>
      </w:r>
      <w:r w:rsidRPr="00930B8D">
        <w:rPr>
          <w:i/>
          <w:iCs/>
          <w:sz w:val="24"/>
          <w:szCs w:val="24"/>
        </w:rPr>
        <w:t xml:space="preserve"> for the recording of the useful</w:t>
      </w:r>
      <w:r w:rsidRPr="00930B8D">
        <w:rPr>
          <w:b/>
          <w:bCs/>
          <w:i/>
          <w:iCs/>
          <w:sz w:val="24"/>
          <w:szCs w:val="24"/>
        </w:rPr>
        <w:t xml:space="preserve"> West Yorkshire International Recruitment</w:t>
      </w:r>
      <w:r w:rsidRPr="00930B8D">
        <w:rPr>
          <w:i/>
          <w:iCs/>
          <w:sz w:val="24"/>
          <w:szCs w:val="24"/>
        </w:rPr>
        <w:t xml:space="preserve"> webinar with </w:t>
      </w:r>
      <w:r w:rsidRPr="0022463A">
        <w:rPr>
          <w:i/>
          <w:iCs/>
          <w:sz w:val="24"/>
          <w:szCs w:val="24"/>
        </w:rPr>
        <w:t>Aston Brooks</w:t>
      </w:r>
      <w:r w:rsidRPr="00930B8D">
        <w:rPr>
          <w:i/>
          <w:iCs/>
          <w:sz w:val="24"/>
          <w:szCs w:val="24"/>
        </w:rPr>
        <w:t xml:space="preserve"> solicitors on: </w:t>
      </w:r>
      <w:r w:rsidRPr="00930B8D">
        <w:rPr>
          <w:b/>
          <w:bCs/>
          <w:i/>
          <w:iCs/>
          <w:sz w:val="24"/>
          <w:szCs w:val="24"/>
        </w:rPr>
        <w:t>admin@bradfordcareassociation.org</w:t>
      </w:r>
      <w:r w:rsidRPr="00930B8D">
        <w:rPr>
          <w:i/>
          <w:iCs/>
          <w:sz w:val="24"/>
          <w:szCs w:val="24"/>
        </w:rPr>
        <w:t xml:space="preserve"> </w:t>
      </w:r>
    </w:p>
    <w:p w14:paraId="78C1DF99" w14:textId="77777777" w:rsidR="00F85B9B" w:rsidRPr="00F85B9B" w:rsidRDefault="00F85B9B" w:rsidP="00F85B9B">
      <w:pPr>
        <w:rPr>
          <w:b/>
          <w:bCs/>
          <w:sz w:val="28"/>
          <w:szCs w:val="28"/>
          <w:u w:val="single"/>
        </w:rPr>
      </w:pPr>
    </w:p>
    <w:sectPr w:rsidR="00F85B9B" w:rsidRPr="00F85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B2818"/>
    <w:multiLevelType w:val="multilevel"/>
    <w:tmpl w:val="CE30B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0DB4E8D"/>
    <w:multiLevelType w:val="multilevel"/>
    <w:tmpl w:val="783E5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80055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4752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9B"/>
    <w:rsid w:val="000C78A9"/>
    <w:rsid w:val="0022463A"/>
    <w:rsid w:val="0023120A"/>
    <w:rsid w:val="003776B1"/>
    <w:rsid w:val="00885CD5"/>
    <w:rsid w:val="00930B8D"/>
    <w:rsid w:val="00A13BC5"/>
    <w:rsid w:val="00B75144"/>
    <w:rsid w:val="00D63445"/>
    <w:rsid w:val="00F8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1219"/>
  <w15:chartTrackingRefBased/>
  <w15:docId w15:val="{1719F58D-B8D8-4381-87BA-EEE1C3DD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B9B"/>
    <w:rPr>
      <w:rFonts w:eastAsiaTheme="majorEastAsia" w:cstheme="majorBidi"/>
      <w:color w:val="272727" w:themeColor="text1" w:themeTint="D8"/>
    </w:rPr>
  </w:style>
  <w:style w:type="paragraph" w:styleId="Title">
    <w:name w:val="Title"/>
    <w:basedOn w:val="Normal"/>
    <w:next w:val="Normal"/>
    <w:link w:val="TitleChar"/>
    <w:uiPriority w:val="10"/>
    <w:qFormat/>
    <w:rsid w:val="00F85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B9B"/>
    <w:pPr>
      <w:spacing w:before="160"/>
      <w:jc w:val="center"/>
    </w:pPr>
    <w:rPr>
      <w:i/>
      <w:iCs/>
      <w:color w:val="404040" w:themeColor="text1" w:themeTint="BF"/>
    </w:rPr>
  </w:style>
  <w:style w:type="character" w:customStyle="1" w:styleId="QuoteChar">
    <w:name w:val="Quote Char"/>
    <w:basedOn w:val="DefaultParagraphFont"/>
    <w:link w:val="Quote"/>
    <w:uiPriority w:val="29"/>
    <w:rsid w:val="00F85B9B"/>
    <w:rPr>
      <w:i/>
      <w:iCs/>
      <w:color w:val="404040" w:themeColor="text1" w:themeTint="BF"/>
    </w:rPr>
  </w:style>
  <w:style w:type="paragraph" w:styleId="ListParagraph">
    <w:name w:val="List Paragraph"/>
    <w:basedOn w:val="Normal"/>
    <w:uiPriority w:val="34"/>
    <w:qFormat/>
    <w:rsid w:val="00F85B9B"/>
    <w:pPr>
      <w:ind w:left="720"/>
      <w:contextualSpacing/>
    </w:pPr>
  </w:style>
  <w:style w:type="character" w:styleId="IntenseEmphasis">
    <w:name w:val="Intense Emphasis"/>
    <w:basedOn w:val="DefaultParagraphFont"/>
    <w:uiPriority w:val="21"/>
    <w:qFormat/>
    <w:rsid w:val="00F85B9B"/>
    <w:rPr>
      <w:i/>
      <w:iCs/>
      <w:color w:val="0F4761" w:themeColor="accent1" w:themeShade="BF"/>
    </w:rPr>
  </w:style>
  <w:style w:type="paragraph" w:styleId="IntenseQuote">
    <w:name w:val="Intense Quote"/>
    <w:basedOn w:val="Normal"/>
    <w:next w:val="Normal"/>
    <w:link w:val="IntenseQuoteChar"/>
    <w:uiPriority w:val="30"/>
    <w:qFormat/>
    <w:rsid w:val="00F85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B9B"/>
    <w:rPr>
      <w:i/>
      <w:iCs/>
      <w:color w:val="0F4761" w:themeColor="accent1" w:themeShade="BF"/>
    </w:rPr>
  </w:style>
  <w:style w:type="character" w:styleId="IntenseReference">
    <w:name w:val="Intense Reference"/>
    <w:basedOn w:val="DefaultParagraphFont"/>
    <w:uiPriority w:val="32"/>
    <w:qFormat/>
    <w:rsid w:val="00F85B9B"/>
    <w:rPr>
      <w:b/>
      <w:bCs/>
      <w:smallCaps/>
      <w:color w:val="0F4761" w:themeColor="accent1" w:themeShade="BF"/>
      <w:spacing w:val="5"/>
    </w:rPr>
  </w:style>
  <w:style w:type="character" w:styleId="Hyperlink">
    <w:name w:val="Hyperlink"/>
    <w:basedOn w:val="DefaultParagraphFont"/>
    <w:uiPriority w:val="99"/>
    <w:unhideWhenUsed/>
    <w:rsid w:val="00F85B9B"/>
    <w:rPr>
      <w:color w:val="467886" w:themeColor="hyperlink"/>
      <w:u w:val="single"/>
    </w:rPr>
  </w:style>
  <w:style w:type="character" w:styleId="UnresolvedMention">
    <w:name w:val="Unresolved Mention"/>
    <w:basedOn w:val="DefaultParagraphFont"/>
    <w:uiPriority w:val="99"/>
    <w:semiHidden/>
    <w:unhideWhenUsed/>
    <w:rsid w:val="00F85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97623">
      <w:bodyDiv w:val="1"/>
      <w:marLeft w:val="0"/>
      <w:marRight w:val="0"/>
      <w:marTop w:val="0"/>
      <w:marBottom w:val="0"/>
      <w:divBdr>
        <w:top w:val="none" w:sz="0" w:space="0" w:color="auto"/>
        <w:left w:val="none" w:sz="0" w:space="0" w:color="auto"/>
        <w:bottom w:val="none" w:sz="0" w:space="0" w:color="auto"/>
        <w:right w:val="none" w:sz="0" w:space="0" w:color="auto"/>
      </w:divBdr>
    </w:div>
    <w:div w:id="14017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a81b17a4-b806-47e1-a7a2-9a081e2306ed@f24d93ec-b291-4192-a08a-f182245945c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teams.microsoft.com/event/05ea02c0-e18a-4539-9120-d719264e8f15@f24d93ec-b291-4192-a08a-f182245945c2" TargetMode="External"/><Relationship Id="rId12" Type="http://schemas.openxmlformats.org/officeDocument/2006/relationships/hyperlink" Target="mailto:ASCInternationalRecruitment@dhs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major-immigration-reforms-delivered-to-restore-order-and-control" TargetMode="External"/><Relationship Id="rId11" Type="http://schemas.openxmlformats.org/officeDocument/2006/relationships/image" Target="cid:image001.gif@01DBEC39.4C2473F0" TargetMode="External"/><Relationship Id="rId5" Type="http://schemas.openxmlformats.org/officeDocument/2006/relationships/hyperlink" Target="https://linkprotect.cudasvc.com/url?a=https%3a%2f%2fassets.publishing.service.gov.uk%2fmedia%2f6821aec3f16c0654b19060ac%2frestoring-control-over-the-immigration-system-white-paper.pdf&amp;c=E,1,H8dYYbIMzq26_H4Fg0LRASPQeLu1s44XuX_3b2ZCSFdWU9j3BKtQLedWIEDPQrZYy_T5-4vraCu3DQhwYqN1C8kIxONdcZW5x0L2ndpmdAoDUEsBnQ,,&amp;typo=1"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events.teams.microsoft.com/event/c4342085-9276-4cb9-9fb4-2639f51ce71e@f24d93ec-b291-4192-a08a-f182245945c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Brodie</dc:creator>
  <cp:keywords/>
  <dc:description/>
  <cp:lastModifiedBy>Ami Brodie</cp:lastModifiedBy>
  <cp:revision>3</cp:revision>
  <dcterms:created xsi:type="dcterms:W3CDTF">2025-07-04T11:09:00Z</dcterms:created>
  <dcterms:modified xsi:type="dcterms:W3CDTF">2025-07-04T11:35:00Z</dcterms:modified>
</cp:coreProperties>
</file>